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ind w:left="1134" w:right="709" w:hanging="142.00000000000003"/>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spacing w:after="240" w:lineRule="auto"/>
        <w:ind w:left="1134" w:right="709" w:hanging="142.00000000000003"/>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¡El combate por la productividad y eficiencia sigue en el ring! Linde presenta en Lisboa su serie 1251</w:t>
      </w:r>
    </w:p>
    <w:p w:rsidR="00000000" w:rsidDel="00000000" w:rsidP="00000000" w:rsidRDefault="00000000" w:rsidRPr="00000000" w14:paraId="00000003">
      <w:pPr>
        <w:spacing w:after="240" w:lineRule="auto"/>
        <w:ind w:left="1134" w:right="709" w:hanging="142.00000000000003"/>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4">
      <w:pPr>
        <w:spacing w:after="240" w:lineRule="auto"/>
        <w:ind w:left="1134" w:right="709" w:hanging="142.00000000000003"/>
        <w:rPr>
          <w:rFonts w:ascii="Arial" w:cs="Arial" w:eastAsia="Arial" w:hAnsi="Arial"/>
          <w:b w:val="1"/>
          <w:sz w:val="22"/>
          <w:szCs w:val="22"/>
        </w:rPr>
      </w:pPr>
      <w:r w:rsidDel="00000000" w:rsidR="00000000" w:rsidRPr="00000000">
        <w:rPr>
          <w:rFonts w:ascii="DaxPro-Light" w:cs="DaxPro-Light" w:eastAsia="DaxPro-Light" w:hAnsi="DaxPro-Light"/>
          <w:b w:val="1"/>
          <w:sz w:val="22"/>
          <w:szCs w:val="22"/>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rtl w:val="0"/>
        </w:rPr>
        <w:t xml:space="preserve">El mercado portugués sigue siendo muy receptivo a la gama de carretillas elevadoras contrapesadas eléctricas y se prevé un gran éxito</w:t>
      </w:r>
    </w:p>
    <w:p w:rsidR="00000000" w:rsidDel="00000000" w:rsidP="00000000" w:rsidRDefault="00000000" w:rsidRPr="00000000" w14:paraId="00000005">
      <w:pPr>
        <w:spacing w:after="240" w:lineRule="auto"/>
        <w:ind w:left="1134" w:right="709" w:hanging="142.00000000000003"/>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spacing w:after="240" w:before="240"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Lisboa, 18 de junio de 2025 –</w:t>
      </w:r>
      <w:r w:rsidDel="00000000" w:rsidR="00000000" w:rsidRPr="00000000">
        <w:rPr>
          <w:rFonts w:ascii="Arial" w:cs="Arial" w:eastAsia="Arial" w:hAnsi="Arial"/>
          <w:sz w:val="22"/>
          <w:szCs w:val="22"/>
          <w:rtl w:val="0"/>
        </w:rPr>
        <w:t xml:space="preserve"> Las instalaciones de Linde Material Handling en la capital de Portugal han dado la bienvenida a la </w:t>
      </w:r>
      <w:r w:rsidDel="00000000" w:rsidR="00000000" w:rsidRPr="00000000">
        <w:rPr>
          <w:rFonts w:ascii="Arial" w:cs="Arial" w:eastAsia="Arial" w:hAnsi="Arial"/>
          <w:b w:val="1"/>
          <w:sz w:val="22"/>
          <w:szCs w:val="22"/>
          <w:rtl w:val="0"/>
        </w:rPr>
        <w:t xml:space="preserve">sexta parada</w:t>
      </w:r>
      <w:r w:rsidDel="00000000" w:rsidR="00000000" w:rsidRPr="00000000">
        <w:rPr>
          <w:rFonts w:ascii="Arial" w:cs="Arial" w:eastAsia="Arial" w:hAnsi="Arial"/>
          <w:sz w:val="22"/>
          <w:szCs w:val="22"/>
          <w:rtl w:val="0"/>
        </w:rPr>
        <w:t xml:space="preserve"> del exclusivo</w:t>
      </w:r>
      <w:r w:rsidDel="00000000" w:rsidR="00000000" w:rsidRPr="00000000">
        <w:rPr>
          <w:rFonts w:ascii="Arial" w:cs="Arial" w:eastAsia="Arial" w:hAnsi="Arial"/>
          <w:b w:val="1"/>
          <w:sz w:val="22"/>
          <w:szCs w:val="22"/>
          <w:rtl w:val="0"/>
        </w:rPr>
        <w:t xml:space="preserve"> Roadshow </w:t>
      </w:r>
      <w:r w:rsidDel="00000000" w:rsidR="00000000" w:rsidRPr="00000000">
        <w:rPr>
          <w:rFonts w:ascii="Arial" w:cs="Arial" w:eastAsia="Arial" w:hAnsi="Arial"/>
          <w:b w:val="1"/>
          <w:i w:val="1"/>
          <w:sz w:val="22"/>
          <w:szCs w:val="22"/>
          <w:rtl w:val="0"/>
        </w:rPr>
        <w:t xml:space="preserve">The Next Champ</w:t>
      </w:r>
      <w:r w:rsidDel="00000000" w:rsidR="00000000" w:rsidRPr="00000000">
        <w:rPr>
          <w:rFonts w:ascii="Arial" w:cs="Arial" w:eastAsia="Arial" w:hAnsi="Arial"/>
          <w:sz w:val="22"/>
          <w:szCs w:val="22"/>
          <w:rtl w:val="0"/>
        </w:rPr>
        <w:t xml:space="preserve">, que ha recorrido las principales ciudades de España y Portugal, ofreciendo una experiencia envolvente y única para profesionales del sector de la logística, el transporte y la intralogística.</w:t>
      </w:r>
    </w:p>
    <w:p w:rsidR="00000000" w:rsidDel="00000000" w:rsidP="00000000" w:rsidRDefault="00000000" w:rsidRPr="00000000" w14:paraId="00000007">
      <w:pPr>
        <w:spacing w:after="240" w:before="24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esta ocasión, el Roadshow ha destacado también por la presentación de la </w:t>
      </w:r>
      <w:r w:rsidDel="00000000" w:rsidR="00000000" w:rsidRPr="00000000">
        <w:rPr>
          <w:rFonts w:ascii="Arial" w:cs="Arial" w:eastAsia="Arial" w:hAnsi="Arial"/>
          <w:b w:val="1"/>
          <w:sz w:val="22"/>
          <w:szCs w:val="22"/>
          <w:rtl w:val="0"/>
        </w:rPr>
        <w:t xml:space="preserve">innovadora serie 1251 (E y Xi),</w:t>
      </w:r>
      <w:r w:rsidDel="00000000" w:rsidR="00000000" w:rsidRPr="00000000">
        <w:rPr>
          <w:rFonts w:ascii="Arial" w:cs="Arial" w:eastAsia="Arial" w:hAnsi="Arial"/>
          <w:sz w:val="22"/>
          <w:szCs w:val="22"/>
          <w:rtl w:val="0"/>
        </w:rPr>
        <w:t xml:space="preserve"> una gama de carretillas eléctricas revolucionarias que marcan un antes y un después en términos de productividad, ergonomía, seguridad y eficiencia. Los asistentes han tenido la oportunidad de conocer en detalle estas carretillas y explorar soluciones avanzadas en automatización, digitalización, energía y seguridad aplicadas a la manipulación de materiales.</w:t>
      </w:r>
    </w:p>
    <w:p w:rsidR="00000000" w:rsidDel="00000000" w:rsidP="00000000" w:rsidRDefault="00000000" w:rsidRPr="00000000" w14:paraId="00000008">
      <w:pPr>
        <w:spacing w:after="240" w:before="240" w:line="360" w:lineRule="auto"/>
        <w:jc w:val="both"/>
        <w:rPr>
          <w:rFonts w:ascii="Arial" w:cs="Arial" w:eastAsia="Arial" w:hAnsi="Arial"/>
          <w:b w:val="1"/>
          <w:sz w:val="22"/>
          <w:szCs w:val="22"/>
        </w:rPr>
      </w:pPr>
      <w:r w:rsidDel="00000000" w:rsidR="00000000" w:rsidRPr="00000000">
        <w:rPr>
          <w:rFonts w:ascii="Arial" w:cs="Arial" w:eastAsia="Arial" w:hAnsi="Arial"/>
          <w:i w:val="1"/>
          <w:sz w:val="22"/>
          <w:szCs w:val="22"/>
          <w:rtl w:val="0"/>
        </w:rPr>
        <w:t xml:space="preserve">"Para nosotros, en Linde Material Handling Portugal, esta es una oportunidad única para presentar la nueva serie 1251 a todos los clientes. Es un gran orgullo y honor recibir a nuestros clientes en nuestra casa", </w:t>
      </w:r>
      <w:r w:rsidDel="00000000" w:rsidR="00000000" w:rsidRPr="00000000">
        <w:rPr>
          <w:rFonts w:ascii="Arial" w:cs="Arial" w:eastAsia="Arial" w:hAnsi="Arial"/>
          <w:sz w:val="22"/>
          <w:szCs w:val="22"/>
          <w:rtl w:val="0"/>
        </w:rPr>
        <w:t xml:space="preserve">afirma </w:t>
      </w:r>
      <w:r w:rsidDel="00000000" w:rsidR="00000000" w:rsidRPr="00000000">
        <w:rPr>
          <w:rFonts w:ascii="Arial" w:cs="Arial" w:eastAsia="Arial" w:hAnsi="Arial"/>
          <w:b w:val="1"/>
          <w:sz w:val="22"/>
          <w:szCs w:val="22"/>
          <w:rtl w:val="0"/>
        </w:rPr>
        <w:t xml:space="preserve">Mario Caciones</w:t>
      </w:r>
      <w:r w:rsidDel="00000000" w:rsidR="00000000" w:rsidRPr="00000000">
        <w:rPr>
          <w:rFonts w:ascii="Arial" w:cs="Arial" w:eastAsia="Arial" w:hAnsi="Arial"/>
          <w:sz w:val="22"/>
          <w:szCs w:val="22"/>
          <w:rtl w:val="0"/>
        </w:rPr>
        <w:t xml:space="preserve">, sales manager de </w:t>
      </w:r>
      <w:r w:rsidDel="00000000" w:rsidR="00000000" w:rsidRPr="00000000">
        <w:rPr>
          <w:rFonts w:ascii="Arial" w:cs="Arial" w:eastAsia="Arial" w:hAnsi="Arial"/>
          <w:b w:val="1"/>
          <w:sz w:val="22"/>
          <w:szCs w:val="22"/>
          <w:rtl w:val="0"/>
        </w:rPr>
        <w:t xml:space="preserve">Linde Material Handling Ibérica en Portugal.</w:t>
      </w:r>
    </w:p>
    <w:p w:rsidR="00000000" w:rsidDel="00000000" w:rsidP="00000000" w:rsidRDefault="00000000" w:rsidRPr="00000000" w14:paraId="00000009">
      <w:pPr>
        <w:spacing w:after="240" w:before="24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lo largo de este evento, los participantes pudieron conocer de cerca las carretillas y disfrutar de una serie de experiencias exclusivas, incluyendo una zona de pruebas de producto, la Driving Experience, donde tuvieron la oportunidad de </w:t>
      </w:r>
      <w:r w:rsidDel="00000000" w:rsidR="00000000" w:rsidRPr="00000000">
        <w:rPr>
          <w:rFonts w:ascii="Arial" w:cs="Arial" w:eastAsia="Arial" w:hAnsi="Arial"/>
          <w:b w:val="1"/>
          <w:sz w:val="22"/>
          <w:szCs w:val="22"/>
          <w:rtl w:val="0"/>
        </w:rPr>
        <w:t xml:space="preserve">conducir los nuevos modelos de la serie 1251</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spacing w:after="240" w:before="24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Igualmente, los asistentes participaron en una jornada de networking, disfrutando de un almuerzo junto a los principales referentes del sector y reforzando las relaciones comerciales.</w:t>
      </w:r>
    </w:p>
    <w:p w:rsidR="00000000" w:rsidDel="00000000" w:rsidP="00000000" w:rsidRDefault="00000000" w:rsidRPr="00000000" w14:paraId="0000000B">
      <w:pPr>
        <w:spacing w:after="240" w:before="24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Cuatro Áreas Expertas</w:t>
      </w:r>
    </w:p>
    <w:p w:rsidR="00000000" w:rsidDel="00000000" w:rsidP="00000000" w:rsidRDefault="00000000" w:rsidRPr="00000000" w14:paraId="0000000C">
      <w:pPr>
        <w:spacing w:after="240" w:before="24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Además de la presentación de la nueva serie 1251, el espacio contó con cuatro Áreas Expertas donde los visitantes han podido ver de primera mano los detalles sobre Soluciones de Sostenibilidad Energética; Equipamiento de Seguridad Adicional para equipar nuestras máquinas; Soluciones Digitales (Gestión de Flotas – MyLinde) y Automatización con equipos AGVs y AMR en operación real.</w:t>
      </w:r>
    </w:p>
    <w:p w:rsidR="00000000" w:rsidDel="00000000" w:rsidP="00000000" w:rsidRDefault="00000000" w:rsidRPr="00000000" w14:paraId="0000000D">
      <w:pPr>
        <w:spacing w:line="360"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“El mercado portugués sigue siendo </w:t>
      </w:r>
      <w:r w:rsidDel="00000000" w:rsidR="00000000" w:rsidRPr="00000000">
        <w:rPr>
          <w:rFonts w:ascii="Arial" w:cs="Arial" w:eastAsia="Arial" w:hAnsi="Arial"/>
          <w:b w:val="1"/>
          <w:i w:val="1"/>
          <w:sz w:val="22"/>
          <w:szCs w:val="22"/>
          <w:rtl w:val="0"/>
        </w:rPr>
        <w:t xml:space="preserve">muy receptivo</w:t>
      </w:r>
      <w:r w:rsidDel="00000000" w:rsidR="00000000" w:rsidRPr="00000000">
        <w:rPr>
          <w:rFonts w:ascii="Arial" w:cs="Arial" w:eastAsia="Arial" w:hAnsi="Arial"/>
          <w:i w:val="1"/>
          <w:sz w:val="22"/>
          <w:szCs w:val="22"/>
          <w:rtl w:val="0"/>
        </w:rPr>
        <w:t xml:space="preserve"> a la gama de carretillas elevadoras contrapesadas eléctricas (CBE), donde esta nueva serie 1251, que sustituye a la anterior serie 386, seguramente tendrá mucho éxito en el panorama nacional, cubriendo un amplio espectro del mercado”</w:t>
      </w:r>
      <w:r w:rsidDel="00000000" w:rsidR="00000000" w:rsidRPr="00000000">
        <w:rPr>
          <w:rFonts w:ascii="Arial" w:cs="Arial" w:eastAsia="Arial" w:hAnsi="Arial"/>
          <w:sz w:val="22"/>
          <w:szCs w:val="22"/>
          <w:rtl w:val="0"/>
        </w:rPr>
        <w:t xml:space="preserve">, explica Caciones.</w:t>
      </w:r>
    </w:p>
    <w:p w:rsidR="00000000" w:rsidDel="00000000" w:rsidP="00000000" w:rsidRDefault="00000000" w:rsidRPr="00000000" w14:paraId="0000000E">
      <w:pPr>
        <w:spacing w:after="240" w:before="240"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Cómo valorar la opción que mejor se adapta a cada necesidad</w:t>
      </w:r>
      <w:r w:rsidDel="00000000" w:rsidR="00000000" w:rsidRPr="00000000">
        <w:rPr>
          <w:rtl w:val="0"/>
        </w:rPr>
      </w:r>
    </w:p>
    <w:p w:rsidR="00000000" w:rsidDel="00000000" w:rsidP="00000000" w:rsidRDefault="00000000" w:rsidRPr="00000000" w14:paraId="0000000F">
      <w:pPr>
        <w:spacing w:after="240" w:before="24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sostenibilidad, un aspecto clave en la estrategia de Linde, estuvo presente a través de soluciones energéticas como baterías de plomo-ácido, baterías de litio y pilas de hidrógeno, permitiendo a los clientes analizar su flota actual y determinar la mejor opción adaptada a sus necesidades operativas. En este sentido Caciones, opina que </w:t>
      </w:r>
      <w:r w:rsidDel="00000000" w:rsidR="00000000" w:rsidRPr="00000000">
        <w:rPr>
          <w:rFonts w:ascii="Arial" w:cs="Arial" w:eastAsia="Arial" w:hAnsi="Arial"/>
          <w:i w:val="1"/>
          <w:sz w:val="22"/>
          <w:szCs w:val="22"/>
          <w:rtl w:val="0"/>
        </w:rPr>
        <w:t xml:space="preserve">“la sostenibilidad es fundamental en nuestro tejido empresarial y también en nuestra oferta de soluciones. Ofrecemos a nuestros clientes una variedad de opciones para mejorar la eficiencia de su flota, adaptándose a las nuevas demandas del mercado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Roadshow </w:t>
      </w:r>
      <w:r w:rsidDel="00000000" w:rsidR="00000000" w:rsidRPr="00000000">
        <w:rPr>
          <w:rFonts w:ascii="Arial" w:cs="Arial" w:eastAsia="Arial" w:hAnsi="Arial"/>
          <w:i w:val="1"/>
          <w:sz w:val="22"/>
          <w:szCs w:val="22"/>
          <w:rtl w:val="0"/>
        </w:rPr>
        <w:t xml:space="preserve">The Next Champ</w:t>
      </w:r>
      <w:r w:rsidDel="00000000" w:rsidR="00000000" w:rsidRPr="00000000">
        <w:rPr>
          <w:rFonts w:ascii="Arial" w:cs="Arial" w:eastAsia="Arial" w:hAnsi="Arial"/>
          <w:sz w:val="22"/>
          <w:szCs w:val="22"/>
          <w:rtl w:val="0"/>
        </w:rPr>
        <w:t xml:space="preserve"> ha contado con la presencia de representantes del Municipio de Alcochete, como el alcalde, quien ha acompañado a Linde en este evento que ha consolidado la relación de la compañía con clientes y partners clave del mercado portugués.</w:t>
      </w:r>
    </w:p>
    <w:p w:rsidR="00000000" w:rsidDel="00000000" w:rsidP="00000000" w:rsidRDefault="00000000" w:rsidRPr="00000000" w14:paraId="00000011">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360"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“Lo más importante que queremos que recuerden es la fuerza que representa la marca LINDE en el mercado portugués, todo nuestro portafolio y las soluciones que ponemos a disposición de nuestros clientes. En otras palabras, cuando piensen en transportar carga de forma segura, ¡piensen en LINDE!”</w:t>
      </w:r>
      <w:r w:rsidDel="00000000" w:rsidR="00000000" w:rsidRPr="00000000">
        <w:rPr>
          <w:rFonts w:ascii="Arial" w:cs="Arial" w:eastAsia="Arial" w:hAnsi="Arial"/>
          <w:sz w:val="22"/>
          <w:szCs w:val="22"/>
          <w:rtl w:val="0"/>
        </w:rPr>
        <w:t xml:space="preserve">, concluye el sales manager Portugal en Linde Material Handling Ibérica, S.A.</w:t>
      </w:r>
    </w:p>
    <w:p w:rsidR="00000000" w:rsidDel="00000000" w:rsidP="00000000" w:rsidRDefault="00000000" w:rsidRPr="00000000" w14:paraId="00000013">
      <w:pPr>
        <w:spacing w:after="240" w:before="24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exhibición, que ya ha visitado ciudades como Murcia, Vigo, Bilbao, Pamplona y Madrid con gran éxito y afluencia de participantes, finalizará con un evento especial de cierre en </w:t>
      </w:r>
      <w:r w:rsidDel="00000000" w:rsidR="00000000" w:rsidRPr="00000000">
        <w:rPr>
          <w:rFonts w:ascii="Arial" w:cs="Arial" w:eastAsia="Arial" w:hAnsi="Arial"/>
          <w:b w:val="1"/>
          <w:sz w:val="22"/>
          <w:szCs w:val="22"/>
          <w:rtl w:val="0"/>
        </w:rPr>
        <w:t xml:space="preserve">Barcelona el 2 de octubre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4">
      <w:pPr>
        <w:spacing w:line="276" w:lineRule="auto"/>
        <w:jc w:val="both"/>
        <w:rPr>
          <w:rFonts w:ascii="Calibri" w:cs="Calibri" w:eastAsia="Calibri" w:hAnsi="Calibri"/>
        </w:rPr>
      </w:pPr>
      <w:r w:rsidDel="00000000" w:rsidR="00000000" w:rsidRPr="00000000">
        <w:rPr>
          <w:rFonts w:ascii="Arial" w:cs="Arial" w:eastAsia="Arial" w:hAnsi="Arial"/>
          <w:b w:val="1"/>
          <w:sz w:val="22"/>
          <w:szCs w:val="22"/>
          <w:rtl w:val="0"/>
        </w:rPr>
        <w:t xml:space="preserve">¡No te lo pierdas! ¡Ven y descubre la revolución en la intralogística! ¡Te esperamos con grandes sorpresas!</w:t>
      </w:r>
      <w:r w:rsidDel="00000000" w:rsidR="00000000" w:rsidRPr="00000000">
        <w:rPr>
          <w:rtl w:val="0"/>
        </w:rPr>
      </w:r>
    </w:p>
    <w:p w:rsidR="00000000" w:rsidDel="00000000" w:rsidP="00000000" w:rsidRDefault="00000000" w:rsidRPr="00000000" w14:paraId="00000015">
      <w:pPr>
        <w:shd w:fill="ffffff" w:val="clear"/>
        <w:spacing w:after="240" w:before="240" w:line="360" w:lineRule="auto"/>
        <w:ind w:right="600"/>
        <w:rPr>
          <w:rFonts w:ascii="Arial" w:cs="Arial" w:eastAsia="Arial" w:hAnsi="Arial"/>
          <w:color w:val="222222"/>
          <w:sz w:val="22"/>
          <w:szCs w:val="22"/>
        </w:rPr>
      </w:pPr>
      <w:r w:rsidDel="00000000" w:rsidR="00000000" w:rsidRPr="00000000">
        <w:rPr>
          <w:rFonts w:ascii="Calibri" w:cs="Calibri" w:eastAsia="Calibri" w:hAnsi="Calibri"/>
          <w:b w:val="1"/>
          <w:sz w:val="26"/>
          <w:szCs w:val="26"/>
          <w:rtl w:val="0"/>
        </w:rPr>
        <w:t xml:space="preserve">Próximas citas del  Roadshow 2025</w:t>
      </w: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016">
      <w:pPr>
        <w:numPr>
          <w:ilvl w:val="0"/>
          <w:numId w:val="1"/>
        </w:numPr>
        <w:spacing w:line="360" w:lineRule="auto"/>
        <w:ind w:left="720" w:hanging="360"/>
        <w:jc w:val="both"/>
        <w:rPr>
          <w:rFonts w:ascii="Arial" w:cs="Arial" w:eastAsia="Arial" w:hAnsi="Arial"/>
          <w:color w:val="222222"/>
          <w:sz w:val="22"/>
          <w:szCs w:val="22"/>
        </w:rPr>
      </w:pPr>
      <w:r w:rsidDel="00000000" w:rsidR="00000000" w:rsidRPr="00000000">
        <w:rPr>
          <w:rFonts w:ascii="Arial" w:cs="Arial" w:eastAsia="Arial" w:hAnsi="Arial"/>
          <w:b w:val="1"/>
          <w:color w:val="222222"/>
          <w:sz w:val="22"/>
          <w:szCs w:val="22"/>
          <w:rtl w:val="0"/>
        </w:rPr>
        <w:t xml:space="preserve">Barcelona</w:t>
      </w:r>
      <w:r w:rsidDel="00000000" w:rsidR="00000000" w:rsidRPr="00000000">
        <w:rPr>
          <w:rFonts w:ascii="Arial" w:cs="Arial" w:eastAsia="Arial" w:hAnsi="Arial"/>
          <w:color w:val="222222"/>
          <w:sz w:val="22"/>
          <w:szCs w:val="22"/>
          <w:rtl w:val="0"/>
        </w:rPr>
        <w:t xml:space="preserve">: 2 de octubre, de 10:30 a 15:00 h  – </w:t>
      </w:r>
      <w:r w:rsidDel="00000000" w:rsidR="00000000" w:rsidRPr="00000000">
        <w:rPr>
          <w:rFonts w:ascii="Arial" w:cs="Arial" w:eastAsia="Arial" w:hAnsi="Arial"/>
          <w:b w:val="1"/>
          <w:color w:val="222222"/>
          <w:sz w:val="22"/>
          <w:szCs w:val="22"/>
          <w:rtl w:val="0"/>
        </w:rPr>
        <w:t xml:space="preserve">¡Evento especial de cierre de campaña!</w:t>
      </w:r>
    </w:p>
    <w:p w:rsidR="00000000" w:rsidDel="00000000" w:rsidP="00000000" w:rsidRDefault="00000000" w:rsidRPr="00000000" w14:paraId="00000017">
      <w:pPr>
        <w:spacing w:line="360" w:lineRule="auto"/>
        <w:ind w:left="720" w:firstLine="0"/>
        <w:jc w:val="both"/>
        <w:rPr>
          <w:rFonts w:ascii="Arial" w:cs="Arial" w:eastAsia="Arial" w:hAnsi="Arial"/>
          <w:b w:val="1"/>
          <w:color w:val="222222"/>
          <w:sz w:val="22"/>
          <w:szCs w:val="22"/>
        </w:rPr>
      </w:pPr>
      <w:r w:rsidDel="00000000" w:rsidR="00000000" w:rsidRPr="00000000">
        <w:rPr>
          <w:rtl w:val="0"/>
        </w:rPr>
      </w:r>
    </w:p>
    <w:p w:rsidR="00000000" w:rsidDel="00000000" w:rsidP="00000000" w:rsidRDefault="00000000" w:rsidRPr="00000000" w14:paraId="00000018">
      <w:pPr>
        <w:spacing w:after="240" w:before="240" w:line="360" w:lineRule="auto"/>
        <w:jc w:val="both"/>
        <w:rPr>
          <w:rFonts w:ascii="DaxPro-Light" w:cs="DaxPro-Light" w:eastAsia="DaxPro-Light" w:hAnsi="DaxPro-Light"/>
          <w:sz w:val="26"/>
          <w:szCs w:val="26"/>
        </w:rPr>
      </w:pPr>
      <w:r w:rsidDel="00000000" w:rsidR="00000000" w:rsidRPr="00000000">
        <w:rPr>
          <w:rFonts w:ascii="DaxPro-Light" w:cs="DaxPro-Light" w:eastAsia="DaxPro-Light" w:hAnsi="DaxPro-Light"/>
          <w:b w:val="1"/>
          <w:sz w:val="22"/>
          <w:szCs w:val="22"/>
          <w:rtl w:val="0"/>
        </w:rPr>
        <w:t xml:space="preserve">Acerca de Linde MHI</w:t>
      </w:r>
      <w:r w:rsidDel="00000000" w:rsidR="00000000" w:rsidRPr="00000000">
        <w:rPr>
          <w:rtl w:val="0"/>
        </w:rPr>
      </w:r>
    </w:p>
    <w:p w:rsidR="00000000" w:rsidDel="00000000" w:rsidP="00000000" w:rsidRDefault="00000000" w:rsidRPr="00000000" w14:paraId="00000019">
      <w:pPr>
        <w:spacing w:after="240" w:line="360" w:lineRule="auto"/>
        <w:jc w:val="both"/>
        <w:rPr>
          <w:rFonts w:ascii="DaxPro-Light" w:cs="DaxPro-Light" w:eastAsia="DaxPro-Light" w:hAnsi="DaxPro-Light"/>
          <w:sz w:val="22"/>
          <w:szCs w:val="22"/>
        </w:rPr>
      </w:pPr>
      <w:r w:rsidDel="00000000" w:rsidR="00000000" w:rsidRPr="00000000">
        <w:rPr>
          <w:rFonts w:ascii="DaxPro-Light" w:cs="DaxPro-Light" w:eastAsia="DaxPro-Light" w:hAnsi="DaxPro-Light"/>
          <w:sz w:val="22"/>
          <w:szCs w:val="22"/>
          <w:rtl w:val="0"/>
        </w:rPr>
        <w:t xml:space="preserve">Linde Material Handling Ibérica es la empresa más reconocida en el mercado ibérico del sector de la manutención, que ofrece soluciones integrales para la manipulación de mercancías. Sus líneas de negocio incluyen la comercialización de vehículos nuevos, servicios postventa, alquiler a corto y largo plazo, vehículos reacondicionados, gestión de flotas, soluciones automatizadas y consultoría intralogística integral.</w:t>
      </w:r>
    </w:p>
    <w:p w:rsidR="00000000" w:rsidDel="00000000" w:rsidP="00000000" w:rsidRDefault="00000000" w:rsidRPr="00000000" w14:paraId="0000001A">
      <w:pPr>
        <w:spacing w:after="240" w:line="360" w:lineRule="auto"/>
        <w:jc w:val="both"/>
        <w:rPr>
          <w:rFonts w:ascii="DaxPro-Light" w:cs="DaxPro-Light" w:eastAsia="DaxPro-Light" w:hAnsi="DaxPro-Light"/>
          <w:sz w:val="22"/>
          <w:szCs w:val="22"/>
        </w:rPr>
      </w:pPr>
      <w:r w:rsidDel="00000000" w:rsidR="00000000" w:rsidRPr="00000000">
        <w:rPr>
          <w:rFonts w:ascii="DaxPro-Light" w:cs="DaxPro-Light" w:eastAsia="DaxPro-Light" w:hAnsi="DaxPro-Light"/>
          <w:sz w:val="22"/>
          <w:szCs w:val="22"/>
          <w:rtl w:val="0"/>
        </w:rPr>
        <w:t xml:space="preserve">Con presencia a lo largo de toda la Península Ibérica, incluyendo las islas, cuenta con una densa red de 15 concesionarios y 12 delegaciones propias. Linde Material Handling Ibérica es la filial en España y Portugal de Linde Material Handling GmbH.</w:t>
      </w:r>
    </w:p>
    <w:p w:rsidR="00000000" w:rsidDel="00000000" w:rsidP="00000000" w:rsidRDefault="00000000" w:rsidRPr="00000000" w14:paraId="0000001B">
      <w:pPr>
        <w:spacing w:after="240" w:line="360" w:lineRule="auto"/>
        <w:jc w:val="both"/>
        <w:rPr>
          <w:rFonts w:ascii="DaxPro-Light" w:cs="DaxPro-Light" w:eastAsia="DaxPro-Light" w:hAnsi="DaxPro-Light"/>
          <w:b w:val="1"/>
          <w:sz w:val="22"/>
          <w:szCs w:val="22"/>
        </w:rPr>
      </w:pPr>
      <w:r w:rsidDel="00000000" w:rsidR="00000000" w:rsidRPr="00000000">
        <w:rPr>
          <w:rFonts w:ascii="DaxPro-Light" w:cs="DaxPro-Light" w:eastAsia="DaxPro-Light" w:hAnsi="DaxPro-Light"/>
          <w:b w:val="1"/>
          <w:sz w:val="22"/>
          <w:szCs w:val="22"/>
          <w:rtl w:val="0"/>
        </w:rPr>
        <w:t xml:space="preserve">Contacto de prensa</w:t>
      </w:r>
    </w:p>
    <w:p w:rsidR="00000000" w:rsidDel="00000000" w:rsidP="00000000" w:rsidRDefault="00000000" w:rsidRPr="00000000" w14:paraId="0000001C">
      <w:pPr>
        <w:tabs>
          <w:tab w:val="right" w:leader="none" w:pos="8759"/>
        </w:tabs>
        <w:spacing w:line="360" w:lineRule="auto"/>
        <w:jc w:val="both"/>
        <w:rPr>
          <w:rFonts w:ascii="DaxPro-Light" w:cs="DaxPro-Light" w:eastAsia="DaxPro-Light" w:hAnsi="DaxPro-Light"/>
          <w:b w:val="1"/>
          <w:sz w:val="22"/>
          <w:szCs w:val="22"/>
        </w:rPr>
      </w:pPr>
      <w:r w:rsidDel="00000000" w:rsidR="00000000" w:rsidRPr="00000000">
        <w:rPr>
          <w:rFonts w:ascii="DaxPro-Light" w:cs="DaxPro-Light" w:eastAsia="DaxPro-Light" w:hAnsi="DaxPro-Light"/>
          <w:b w:val="1"/>
          <w:sz w:val="22"/>
          <w:szCs w:val="22"/>
          <w:rtl w:val="0"/>
        </w:rPr>
        <w:t xml:space="preserve">Guillermo Tomás</w:t>
        <w:tab/>
        <w:t xml:space="preserve">Elena Zoreda</w:t>
      </w:r>
    </w:p>
    <w:p w:rsidR="00000000" w:rsidDel="00000000" w:rsidP="00000000" w:rsidRDefault="00000000" w:rsidRPr="00000000" w14:paraId="0000001D">
      <w:pPr>
        <w:tabs>
          <w:tab w:val="right" w:leader="none" w:pos="8759"/>
        </w:tabs>
        <w:spacing w:line="360" w:lineRule="auto"/>
        <w:jc w:val="both"/>
        <w:rPr>
          <w:rFonts w:ascii="DaxPro-Light" w:cs="DaxPro-Light" w:eastAsia="DaxPro-Light" w:hAnsi="DaxPro-Light"/>
          <w:sz w:val="22"/>
          <w:szCs w:val="22"/>
        </w:rPr>
      </w:pPr>
      <w:r w:rsidDel="00000000" w:rsidR="00000000" w:rsidRPr="00000000">
        <w:rPr>
          <w:rFonts w:ascii="DaxPro-Light" w:cs="DaxPro-Light" w:eastAsia="DaxPro-Light" w:hAnsi="DaxPro-Light"/>
          <w:sz w:val="22"/>
          <w:szCs w:val="22"/>
          <w:rtl w:val="0"/>
        </w:rPr>
        <w:t xml:space="preserve">Marketing &amp; Comunicación</w:t>
        <w:tab/>
        <w:t xml:space="preserve">Agencia de Comunicación </w:t>
      </w:r>
    </w:p>
    <w:p w:rsidR="00000000" w:rsidDel="00000000" w:rsidP="00000000" w:rsidRDefault="00000000" w:rsidRPr="00000000" w14:paraId="0000001E">
      <w:pPr>
        <w:tabs>
          <w:tab w:val="right" w:leader="none" w:pos="8759"/>
        </w:tabs>
        <w:spacing w:line="360" w:lineRule="auto"/>
        <w:jc w:val="both"/>
        <w:rPr>
          <w:rFonts w:ascii="DaxPro-Light" w:cs="DaxPro-Light" w:eastAsia="DaxPro-Light" w:hAnsi="DaxPro-Light"/>
          <w:sz w:val="22"/>
          <w:szCs w:val="22"/>
        </w:rPr>
      </w:pPr>
      <w:r w:rsidDel="00000000" w:rsidR="00000000" w:rsidRPr="00000000">
        <w:rPr>
          <w:rFonts w:ascii="DaxPro-Light" w:cs="DaxPro-Light" w:eastAsia="DaxPro-Light" w:hAnsi="DaxPro-Light"/>
          <w:sz w:val="22"/>
          <w:szCs w:val="22"/>
          <w:rtl w:val="0"/>
        </w:rPr>
        <w:t xml:space="preserve">Linde Material Handling Ibérica</w:t>
        <w:tab/>
        <w:t xml:space="preserve">Pelican_Catchy</w:t>
      </w:r>
    </w:p>
    <w:p w:rsidR="00000000" w:rsidDel="00000000" w:rsidP="00000000" w:rsidRDefault="00000000" w:rsidRPr="00000000" w14:paraId="0000001F">
      <w:pPr>
        <w:tabs>
          <w:tab w:val="right" w:leader="none" w:pos="8759"/>
        </w:tabs>
        <w:spacing w:line="360" w:lineRule="auto"/>
        <w:rPr>
          <w:rFonts w:ascii="DaxPro-Light" w:cs="DaxPro-Light" w:eastAsia="DaxPro-Light" w:hAnsi="DaxPro-Light"/>
          <w:sz w:val="22"/>
          <w:szCs w:val="22"/>
        </w:rPr>
      </w:pPr>
      <w:r w:rsidDel="00000000" w:rsidR="00000000" w:rsidRPr="00000000">
        <w:rPr>
          <w:rFonts w:ascii="DaxPro-Light" w:cs="DaxPro-Light" w:eastAsia="DaxPro-Light" w:hAnsi="DaxPro-Light"/>
          <w:sz w:val="22"/>
          <w:szCs w:val="22"/>
          <w:rtl w:val="0"/>
        </w:rPr>
        <w:t xml:space="preserve">Móvil: +34 663 92 92 50                                                                   Móvil: +34 611 16 45 97</w:t>
      </w:r>
    </w:p>
    <w:p w:rsidR="00000000" w:rsidDel="00000000" w:rsidP="00000000" w:rsidRDefault="00000000" w:rsidRPr="00000000" w14:paraId="00000020">
      <w:pPr>
        <w:tabs>
          <w:tab w:val="right" w:leader="none" w:pos="8759"/>
        </w:tabs>
        <w:spacing w:line="360" w:lineRule="auto"/>
        <w:rPr>
          <w:sz w:val="22"/>
          <w:szCs w:val="22"/>
        </w:rPr>
      </w:pPr>
      <w:hyperlink r:id="rId7">
        <w:r w:rsidDel="00000000" w:rsidR="00000000" w:rsidRPr="00000000">
          <w:rPr>
            <w:rFonts w:ascii="DaxPro-Light" w:cs="DaxPro-Light" w:eastAsia="DaxPro-Light" w:hAnsi="DaxPro-Light"/>
            <w:color w:val="0563c1"/>
            <w:sz w:val="22"/>
            <w:szCs w:val="22"/>
            <w:u w:val="single"/>
            <w:rtl w:val="0"/>
          </w:rPr>
          <w:t xml:space="preserve">guillermo.tomas@linde-mh.es</w:t>
        </w:r>
      </w:hyperlink>
      <w:r w:rsidDel="00000000" w:rsidR="00000000" w:rsidRPr="00000000">
        <w:rPr>
          <w:rFonts w:ascii="DaxPro-Light" w:cs="DaxPro-Light" w:eastAsia="DaxPro-Light" w:hAnsi="DaxPro-Light"/>
          <w:sz w:val="22"/>
          <w:szCs w:val="22"/>
          <w:u w:val="single"/>
          <w:rtl w:val="0"/>
        </w:rPr>
        <w:t xml:space="preserve"> </w:t>
      </w:r>
      <w:r w:rsidDel="00000000" w:rsidR="00000000" w:rsidRPr="00000000">
        <w:rPr>
          <w:rFonts w:ascii="DaxPro-Light" w:cs="DaxPro-Light" w:eastAsia="DaxPro-Light" w:hAnsi="DaxPro-Light"/>
          <w:sz w:val="22"/>
          <w:szCs w:val="22"/>
          <w:rtl w:val="0"/>
        </w:rPr>
        <w:tab/>
      </w:r>
      <w:hyperlink r:id="rId8">
        <w:r w:rsidDel="00000000" w:rsidR="00000000" w:rsidRPr="00000000">
          <w:rPr>
            <w:rFonts w:ascii="DaxPro-Light" w:cs="DaxPro-Light" w:eastAsia="DaxPro-Light" w:hAnsi="DaxPro-Light"/>
            <w:color w:val="1155cc"/>
            <w:sz w:val="22"/>
            <w:szCs w:val="22"/>
            <w:u w:val="single"/>
            <w:rtl w:val="0"/>
          </w:rPr>
          <w:t xml:space="preserve">elena@pelicancatchy.com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0" w:orient="portrait"/>
      <w:pgMar w:bottom="1134" w:top="2859" w:left="1417" w:right="169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DaxPro-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152400</wp:posOffset>
              </wp:positionV>
              <wp:extent cx="3155950" cy="590550"/>
              <wp:effectExtent b="0" l="0" r="0" t="0"/>
              <wp:wrapNone/>
              <wp:docPr id="11" name=""/>
              <a:graphic>
                <a:graphicData uri="http://schemas.microsoft.com/office/word/2010/wordprocessingShape">
                  <wps:wsp>
                    <wps:cNvSpPr/>
                    <wps:cNvPr id="2" name="Shape 2"/>
                    <wps:spPr>
                      <a:xfrm>
                        <a:off x="3777550" y="3494250"/>
                        <a:ext cx="3136900" cy="571500"/>
                      </a:xfrm>
                      <a:prstGeom prst="rect">
                        <a:avLst/>
                      </a:prstGeom>
                      <a:solidFill>
                        <a:srgbClr val="FFFFFF"/>
                      </a:solidFill>
                      <a:ln>
                        <a:noFill/>
                      </a:ln>
                    </wps:spPr>
                    <wps:txbx>
                      <w:txbxContent>
                        <w:p w:rsidR="00000000" w:rsidDel="00000000" w:rsidP="00000000" w:rsidRDefault="00000000" w:rsidRPr="00000000">
                          <w:pPr>
                            <w:spacing w:after="0" w:before="0" w:line="300"/>
                            <w:ind w:left="567.0000076293945" w:right="0" w:firstLine="1701.0000610351562"/>
                            <w:jc w:val="left"/>
                            <w:textDirection w:val="btLr"/>
                          </w:pPr>
                        </w:p>
                        <w:p w:rsidR="00000000" w:rsidDel="00000000" w:rsidP="00000000" w:rsidRDefault="00000000" w:rsidRPr="00000000">
                          <w:pPr>
                            <w:spacing w:after="0" w:before="0" w:line="300"/>
                            <w:ind w:left="567.0000076293945" w:right="0" w:firstLine="1701.0000610351562"/>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DaxPro-Medium" w:cs="DaxPro-Medium" w:eastAsia="DaxPro-Medium" w:hAnsi="DaxPro-Medium"/>
                              <w:b w:val="0"/>
                              <w:i w:val="0"/>
                              <w:smallCaps w:val="0"/>
                              <w:strike w:val="0"/>
                              <w:color w:val="000000"/>
                              <w:sz w:val="36"/>
                              <w:vertAlign w:val="baseline"/>
                            </w:rPr>
                            <w:t xml:space="preserve">NOTA DE PRENSA</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152400</wp:posOffset>
              </wp:positionV>
              <wp:extent cx="3155950" cy="590550"/>
              <wp:effectExtent b="0" l="0" r="0" t="0"/>
              <wp:wrapNone/>
              <wp:docPr id="1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155950" cy="5905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4465955</wp:posOffset>
          </wp:positionH>
          <wp:positionV relativeFrom="paragraph">
            <wp:posOffset>-220973</wp:posOffset>
          </wp:positionV>
          <wp:extent cx="1906905" cy="1143635"/>
          <wp:effectExtent b="0" l="0" r="0" t="0"/>
          <wp:wrapNone/>
          <wp:docPr id="1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06905" cy="11436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405C7"/>
    <w:rPr>
      <w:lang w:eastAsia="de-DE"/>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Zusammenfassung" w:customStyle="1">
    <w:name w:val="Zusammenfassung"/>
    <w:basedOn w:val="Normal"/>
    <w:rsid w:val="00155B85"/>
    <w:pPr>
      <w:spacing w:line="300" w:lineRule="exact"/>
    </w:pPr>
    <w:rPr>
      <w:rFonts w:ascii="LindeDax-Regular" w:hAnsi="LindeDax-Regular"/>
      <w:sz w:val="22"/>
    </w:rPr>
  </w:style>
  <w:style w:type="character" w:styleId="Hipervnculo">
    <w:name w:val="Hyperlink"/>
    <w:basedOn w:val="Fuentedeprrafopredeter"/>
    <w:uiPriority w:val="99"/>
    <w:unhideWhenUsed w:val="1"/>
    <w:rsid w:val="00155B85"/>
    <w:rPr>
      <w:color w:val="0563c1" w:themeColor="hyperlink"/>
      <w:u w:val="single"/>
    </w:rPr>
  </w:style>
  <w:style w:type="character" w:styleId="Refdecomentario">
    <w:name w:val="annotation reference"/>
    <w:basedOn w:val="Fuentedeprrafopredeter"/>
    <w:uiPriority w:val="99"/>
    <w:semiHidden w:val="1"/>
    <w:unhideWhenUsed w:val="1"/>
    <w:rsid w:val="001405C7"/>
    <w:rPr>
      <w:sz w:val="18"/>
      <w:szCs w:val="18"/>
    </w:rPr>
  </w:style>
  <w:style w:type="paragraph" w:styleId="Textocomentario">
    <w:name w:val="annotation text"/>
    <w:basedOn w:val="Normal"/>
    <w:link w:val="TextocomentarioCar"/>
    <w:uiPriority w:val="99"/>
    <w:semiHidden w:val="1"/>
    <w:unhideWhenUsed w:val="1"/>
    <w:rsid w:val="001405C7"/>
    <w:rPr>
      <w:rFonts w:asciiTheme="minorHAnsi" w:cstheme="minorBidi" w:hAnsiTheme="minorHAnsi"/>
      <w:lang w:eastAsia="en-US"/>
    </w:rPr>
  </w:style>
  <w:style w:type="character" w:styleId="TextocomentarioCar" w:customStyle="1">
    <w:name w:val="Texto comentario Car"/>
    <w:basedOn w:val="Fuentedeprrafopredeter"/>
    <w:link w:val="Textocomentario"/>
    <w:uiPriority w:val="99"/>
    <w:semiHidden w:val="1"/>
    <w:rsid w:val="001405C7"/>
    <w:rPr>
      <w:sz w:val="24"/>
      <w:szCs w:val="24"/>
    </w:rPr>
  </w:style>
  <w:style w:type="paragraph" w:styleId="Textodeglobo">
    <w:name w:val="Balloon Text"/>
    <w:basedOn w:val="Normal"/>
    <w:link w:val="TextodegloboCar"/>
    <w:uiPriority w:val="99"/>
    <w:semiHidden w:val="1"/>
    <w:unhideWhenUsed w:val="1"/>
    <w:rsid w:val="001405C7"/>
    <w:rPr>
      <w:sz w:val="18"/>
      <w:szCs w:val="18"/>
    </w:rPr>
  </w:style>
  <w:style w:type="character" w:styleId="TextodegloboCar" w:customStyle="1">
    <w:name w:val="Texto de globo Car"/>
    <w:basedOn w:val="Fuentedeprrafopredeter"/>
    <w:link w:val="Textodeglobo"/>
    <w:uiPriority w:val="99"/>
    <w:semiHidden w:val="1"/>
    <w:rsid w:val="001405C7"/>
    <w:rPr>
      <w:rFonts w:ascii="Times New Roman" w:cs="Times New Roman" w:hAnsi="Times New Roman"/>
      <w:sz w:val="18"/>
      <w:szCs w:val="18"/>
      <w:lang w:eastAsia="de-DE"/>
    </w:rPr>
  </w:style>
  <w:style w:type="paragraph" w:styleId="Encabezado">
    <w:name w:val="header"/>
    <w:basedOn w:val="Normal"/>
    <w:link w:val="EncabezadoCar"/>
    <w:uiPriority w:val="99"/>
    <w:unhideWhenUsed w:val="1"/>
    <w:rsid w:val="001405C7"/>
    <w:pPr>
      <w:tabs>
        <w:tab w:val="center" w:pos="4536"/>
        <w:tab w:val="right" w:pos="9072"/>
      </w:tabs>
    </w:pPr>
  </w:style>
  <w:style w:type="character" w:styleId="EncabezadoCar" w:customStyle="1">
    <w:name w:val="Encabezado Car"/>
    <w:basedOn w:val="Fuentedeprrafopredeter"/>
    <w:link w:val="Encabezado"/>
    <w:uiPriority w:val="99"/>
    <w:rsid w:val="001405C7"/>
    <w:rPr>
      <w:rFonts w:ascii="Times New Roman" w:cs="Times New Roman" w:hAnsi="Times New Roman"/>
      <w:sz w:val="24"/>
      <w:szCs w:val="24"/>
      <w:lang w:eastAsia="de-DE"/>
    </w:rPr>
  </w:style>
  <w:style w:type="paragraph" w:styleId="Piedepgina">
    <w:name w:val="footer"/>
    <w:basedOn w:val="Normal"/>
    <w:link w:val="PiedepginaCar"/>
    <w:uiPriority w:val="99"/>
    <w:unhideWhenUsed w:val="1"/>
    <w:rsid w:val="001405C7"/>
    <w:pPr>
      <w:tabs>
        <w:tab w:val="center" w:pos="4536"/>
        <w:tab w:val="right" w:pos="9072"/>
      </w:tabs>
    </w:pPr>
  </w:style>
  <w:style w:type="character" w:styleId="PiedepginaCar" w:customStyle="1">
    <w:name w:val="Pie de página Car"/>
    <w:basedOn w:val="Fuentedeprrafopredeter"/>
    <w:link w:val="Piedepgina"/>
    <w:uiPriority w:val="99"/>
    <w:rsid w:val="001405C7"/>
    <w:rPr>
      <w:rFonts w:ascii="Times New Roman" w:cs="Times New Roman" w:hAnsi="Times New Roman"/>
      <w:sz w:val="24"/>
      <w:szCs w:val="24"/>
      <w:lang w:eastAsia="de-DE"/>
    </w:rPr>
  </w:style>
  <w:style w:type="paragraph" w:styleId="Asuntodelcomentario">
    <w:name w:val="annotation subject"/>
    <w:basedOn w:val="Textocomentario"/>
    <w:next w:val="Textocomentario"/>
    <w:link w:val="AsuntodelcomentarioCar"/>
    <w:uiPriority w:val="99"/>
    <w:semiHidden w:val="1"/>
    <w:unhideWhenUsed w:val="1"/>
    <w:rsid w:val="001405C7"/>
    <w:rPr>
      <w:rFonts w:ascii="Times New Roman" w:cs="Times New Roman" w:hAnsi="Times New Roman"/>
      <w:b w:val="1"/>
      <w:bCs w:val="1"/>
      <w:sz w:val="20"/>
      <w:szCs w:val="20"/>
      <w:lang w:eastAsia="de-DE"/>
    </w:rPr>
  </w:style>
  <w:style w:type="character" w:styleId="AsuntodelcomentarioCar" w:customStyle="1">
    <w:name w:val="Asunto del comentario Car"/>
    <w:basedOn w:val="TextocomentarioCar"/>
    <w:link w:val="Asuntodelcomentario"/>
    <w:uiPriority w:val="99"/>
    <w:semiHidden w:val="1"/>
    <w:rsid w:val="001405C7"/>
    <w:rPr>
      <w:rFonts w:ascii="Times New Roman" w:cs="Times New Roman" w:hAnsi="Times New Roman"/>
      <w:b w:val="1"/>
      <w:bCs w:val="1"/>
      <w:sz w:val="20"/>
      <w:szCs w:val="20"/>
      <w:lang w:eastAsia="de-DE"/>
    </w:rPr>
  </w:style>
  <w:style w:type="paragraph" w:styleId="Default" w:customStyle="1">
    <w:name w:val="Default"/>
    <w:rsid w:val="001405C7"/>
    <w:pPr>
      <w:autoSpaceDE w:val="0"/>
      <w:autoSpaceDN w:val="0"/>
      <w:adjustRightInd w:val="0"/>
    </w:pPr>
    <w:rPr>
      <w:rFonts w:ascii="Dax Offc Pro" w:cs="Dax Offc Pro" w:hAnsi="Dax Offc Pro"/>
      <w:color w:val="000000"/>
    </w:rPr>
  </w:style>
  <w:style w:type="paragraph" w:styleId="Prrafodelista">
    <w:name w:val="List Paragraph"/>
    <w:basedOn w:val="Normal"/>
    <w:uiPriority w:val="34"/>
    <w:rsid w:val="001405C7"/>
    <w:pPr>
      <w:spacing w:line="260" w:lineRule="atLeast"/>
      <w:ind w:left="720"/>
      <w:contextualSpacing w:val="1"/>
    </w:pPr>
    <w:rPr>
      <w:rFonts w:asciiTheme="minorHAnsi" w:cstheme="minorBidi" w:hAnsiTheme="minorHAnsi"/>
      <w:sz w:val="19"/>
      <w:szCs w:val="22"/>
      <w:lang w:eastAsia="en-US"/>
    </w:rPr>
  </w:style>
  <w:style w:type="paragraph" w:styleId="Revisin">
    <w:name w:val="Revision"/>
    <w:hidden w:val="1"/>
    <w:uiPriority w:val="99"/>
    <w:semiHidden w:val="1"/>
    <w:rsid w:val="001405C7"/>
    <w:rPr>
      <w:lang w:eastAsia="de-DE"/>
    </w:rPr>
  </w:style>
  <w:style w:type="character" w:styleId="Hipervnculovisitado">
    <w:name w:val="FollowedHyperlink"/>
    <w:basedOn w:val="Fuentedeprrafopredeter"/>
    <w:uiPriority w:val="99"/>
    <w:semiHidden w:val="1"/>
    <w:unhideWhenUsed w:val="1"/>
    <w:rsid w:val="001405C7"/>
    <w:rPr>
      <w:color w:val="954f72" w:themeColor="followedHyperlink"/>
      <w:u w:val="single"/>
    </w:rPr>
  </w:style>
  <w:style w:type="paragraph" w:styleId="NormalWeb">
    <w:name w:val="Normal (Web)"/>
    <w:basedOn w:val="Normal"/>
    <w:uiPriority w:val="99"/>
    <w:semiHidden w:val="1"/>
    <w:unhideWhenUsed w:val="1"/>
    <w:rsid w:val="001405C7"/>
    <w:pPr>
      <w:spacing w:after="100" w:afterAutospacing="1" w:before="100" w:beforeAutospacing="1"/>
    </w:pPr>
  </w:style>
  <w:style w:type="paragraph" w:styleId="Sinespaciado">
    <w:name w:val="No Spacing"/>
    <w:uiPriority w:val="1"/>
    <w:qFormat w:val="1"/>
    <w:rsid w:val="001405C7"/>
  </w:style>
  <w:style w:type="character" w:styleId="Mencinsinresolver">
    <w:name w:val="Unresolved Mention"/>
    <w:basedOn w:val="Fuentedeprrafopredeter"/>
    <w:uiPriority w:val="99"/>
    <w:semiHidden w:val="1"/>
    <w:unhideWhenUsed w:val="1"/>
    <w:rsid w:val="00255DDE"/>
    <w:rPr>
      <w:color w:val="605e5c"/>
      <w:shd w:color="auto" w:fill="e1dfdd" w:val="clear"/>
    </w:rPr>
  </w:style>
  <w:style w:type="paragraph" w:styleId="m-2421043129402594891msolistparagraph" w:customStyle="1">
    <w:name w:val="m_-2421043129402594891msolistparagraph"/>
    <w:basedOn w:val="Normal"/>
    <w:rsid w:val="00E15381"/>
    <w:pPr>
      <w:spacing w:after="100" w:afterAutospacing="1" w:before="100" w:beforeAutospacing="1"/>
    </w:pPr>
    <w:rPr>
      <w:lang w:eastAsia="es-ES"/>
    </w:rPr>
  </w:style>
  <w:style w:type="character" w:styleId="il" w:customStyle="1">
    <w:name w:val="il"/>
    <w:basedOn w:val="Fuentedeprrafopredeter"/>
    <w:rsid w:val="00E15381"/>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uillermo.tomas@linde-mh.es" TargetMode="External"/><Relationship Id="rId8" Type="http://schemas.openxmlformats.org/officeDocument/2006/relationships/hyperlink" Target="mailto:elena@pelicancomunicac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hB60zBuJb5FCgE5FVgOM+p7vxQ==">CgMxLjA4AHIhMWxvOVZ6X3QwRHB3WllhTmtjekFmQUFxbDFMZjdxYVpJ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2024-03-19T10:47:00Z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0x0101005E636A18C93200428C239A0493657B91</vt:lpwstr>
  </property>
  <property fmtid="{D5CDD505-2E9C-101B-9397-08002B2CF9AE}" pid="3" name="MediaServiceImageTags">
    <vt:lpwstr/>
  </property>
</Properties>
</file>