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ind w:left="1134" w:right="709" w:hanging="142.00000000000003"/>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spacing w:after="240" w:lineRule="auto"/>
        <w:ind w:left="1134" w:right="709" w:hanging="142.00000000000003"/>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Quinto round perfecto en Madrid: Linde presenta ‘The Next Champ’ en su ring de innovación logística</w:t>
      </w:r>
    </w:p>
    <w:p w:rsidR="00000000" w:rsidDel="00000000" w:rsidP="00000000" w:rsidRDefault="00000000" w:rsidRPr="00000000" w14:paraId="00000003">
      <w:pPr>
        <w:spacing w:after="240" w:lineRule="auto"/>
        <w:ind w:left="1134" w:right="709" w:hanging="142.00000000000003"/>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4">
      <w:pPr>
        <w:spacing w:after="240" w:lineRule="auto"/>
        <w:ind w:left="1134" w:right="709" w:hanging="142.00000000000003"/>
        <w:rPr>
          <w:rFonts w:ascii="Arial" w:cs="Arial" w:eastAsia="Arial" w:hAnsi="Arial"/>
          <w:b w:val="1"/>
          <w:i w:val="1"/>
          <w:sz w:val="22"/>
          <w:szCs w:val="22"/>
        </w:rPr>
      </w:pPr>
      <w:r w:rsidDel="00000000" w:rsidR="00000000" w:rsidRPr="00000000">
        <w:rPr>
          <w:rFonts w:ascii="DaxPro-Light" w:cs="DaxPro-Light" w:eastAsia="DaxPro-Light" w:hAnsi="DaxPro-Light"/>
          <w:b w:val="1"/>
          <w:sz w:val="22"/>
          <w:szCs w:val="22"/>
          <w:rtl w:val="0"/>
        </w:rPr>
        <w:t xml:space="preserve">· </w:t>
      </w:r>
      <w:r w:rsidDel="00000000" w:rsidR="00000000" w:rsidRPr="00000000">
        <w:rPr>
          <w:rFonts w:ascii="Arial" w:cs="Arial" w:eastAsia="Arial" w:hAnsi="Arial"/>
          <w:b w:val="1"/>
          <w:sz w:val="22"/>
          <w:szCs w:val="22"/>
          <w:rtl w:val="0"/>
        </w:rPr>
        <w:t xml:space="preserve"> L</w:t>
      </w:r>
      <w:r w:rsidDel="00000000" w:rsidR="00000000" w:rsidRPr="00000000">
        <w:rPr>
          <w:rFonts w:ascii="Arial" w:cs="Arial" w:eastAsia="Arial" w:hAnsi="Arial"/>
          <w:b w:val="1"/>
          <w:sz w:val="22"/>
          <w:szCs w:val="22"/>
          <w:rtl w:val="0"/>
        </w:rPr>
        <w:t xml:space="preserve">os asistentes han recorrido distintas zonas temáticas como la </w:t>
      </w:r>
      <w:r w:rsidDel="00000000" w:rsidR="00000000" w:rsidRPr="00000000">
        <w:rPr>
          <w:rFonts w:ascii="Arial" w:cs="Arial" w:eastAsia="Arial" w:hAnsi="Arial"/>
          <w:b w:val="1"/>
          <w:i w:val="1"/>
          <w:sz w:val="22"/>
          <w:szCs w:val="22"/>
          <w:rtl w:val="0"/>
        </w:rPr>
        <w:t xml:space="preserve">driving experience</w:t>
      </w:r>
      <w:r w:rsidDel="00000000" w:rsidR="00000000" w:rsidRPr="00000000">
        <w:rPr>
          <w:rFonts w:ascii="Arial" w:cs="Arial" w:eastAsia="Arial" w:hAnsi="Arial"/>
          <w:b w:val="1"/>
          <w:sz w:val="22"/>
          <w:szCs w:val="22"/>
          <w:rtl w:val="0"/>
        </w:rPr>
        <w:t xml:space="preserve">, la zona de automatización, myLinde, energía o seguridad,</w:t>
      </w:r>
      <w:r w:rsidDel="00000000" w:rsidR="00000000" w:rsidRPr="00000000">
        <w:rPr>
          <w:rtl w:val="0"/>
        </w:rPr>
      </w:r>
    </w:p>
    <w:p w:rsidR="00000000" w:rsidDel="00000000" w:rsidP="00000000" w:rsidRDefault="00000000" w:rsidRPr="00000000" w14:paraId="00000005">
      <w:pPr>
        <w:spacing w:after="240" w:lineRule="auto"/>
        <w:ind w:left="1134" w:right="709" w:hanging="142.00000000000003"/>
        <w:rPr>
          <w:rFonts w:ascii="DaxPro-Light" w:cs="DaxPro-Light" w:eastAsia="DaxPro-Light" w:hAnsi="DaxPro-Light"/>
          <w:b w:val="1"/>
          <w:sz w:val="22"/>
          <w:szCs w:val="22"/>
        </w:rPr>
      </w:pPr>
      <w:r w:rsidDel="00000000" w:rsidR="00000000" w:rsidRPr="00000000">
        <w:rPr>
          <w:rtl w:val="0"/>
        </w:rPr>
      </w:r>
    </w:p>
    <w:p w:rsidR="00000000" w:rsidDel="00000000" w:rsidP="00000000" w:rsidRDefault="00000000" w:rsidRPr="00000000" w14:paraId="00000006">
      <w:pPr>
        <w:spacing w:after="240" w:before="240"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Madrid,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junio de 2025</w:t>
      </w:r>
      <w:r w:rsidDel="00000000" w:rsidR="00000000" w:rsidRPr="00000000">
        <w:rPr>
          <w:rFonts w:ascii="Arial" w:cs="Arial" w:eastAsia="Arial" w:hAnsi="Arial"/>
          <w:sz w:val="22"/>
          <w:szCs w:val="22"/>
          <w:rtl w:val="0"/>
        </w:rPr>
        <w:t xml:space="preserve"> – </w:t>
      </w:r>
      <w:r w:rsidDel="00000000" w:rsidR="00000000" w:rsidRPr="00000000">
        <w:rPr>
          <w:rFonts w:ascii="Arial" w:cs="Arial" w:eastAsia="Arial" w:hAnsi="Arial"/>
          <w:b w:val="1"/>
          <w:sz w:val="22"/>
          <w:szCs w:val="22"/>
          <w:rtl w:val="0"/>
        </w:rPr>
        <w:t xml:space="preserve">Linde Material Handling</w:t>
      </w:r>
      <w:r w:rsidDel="00000000" w:rsidR="00000000" w:rsidRPr="00000000">
        <w:rPr>
          <w:rFonts w:ascii="Arial" w:cs="Arial" w:eastAsia="Arial" w:hAnsi="Arial"/>
          <w:sz w:val="22"/>
          <w:szCs w:val="22"/>
          <w:rtl w:val="0"/>
        </w:rPr>
        <w:t xml:space="preserve"> ha celebrado una nueva parada de su Roadshow </w:t>
      </w:r>
      <w:r w:rsidDel="00000000" w:rsidR="00000000" w:rsidRPr="00000000">
        <w:rPr>
          <w:rFonts w:ascii="Arial" w:cs="Arial" w:eastAsia="Arial" w:hAnsi="Arial"/>
          <w:i w:val="1"/>
          <w:sz w:val="22"/>
          <w:szCs w:val="22"/>
          <w:rtl w:val="0"/>
        </w:rPr>
        <w:t xml:space="preserve">The Next Champ, </w:t>
      </w:r>
      <w:r w:rsidDel="00000000" w:rsidR="00000000" w:rsidRPr="00000000">
        <w:rPr>
          <w:rFonts w:ascii="Arial" w:cs="Arial" w:eastAsia="Arial" w:hAnsi="Arial"/>
          <w:sz w:val="22"/>
          <w:szCs w:val="22"/>
          <w:rtl w:val="0"/>
        </w:rPr>
        <w:t xml:space="preserve">la quinta, en </w:t>
      </w:r>
      <w:r w:rsidDel="00000000" w:rsidR="00000000" w:rsidRPr="00000000">
        <w:rPr>
          <w:rFonts w:ascii="Arial" w:cs="Arial" w:eastAsia="Arial" w:hAnsi="Arial"/>
          <w:sz w:val="22"/>
          <w:szCs w:val="22"/>
          <w:rtl w:val="0"/>
        </w:rPr>
        <w:t xml:space="preserve">Madrid</w:t>
      </w:r>
      <w:r w:rsidDel="00000000" w:rsidR="00000000" w:rsidRPr="00000000">
        <w:rPr>
          <w:rFonts w:ascii="Arial" w:cs="Arial" w:eastAsia="Arial" w:hAnsi="Arial"/>
          <w:sz w:val="22"/>
          <w:szCs w:val="22"/>
          <w:rtl w:val="0"/>
        </w:rPr>
        <w:t xml:space="preserve">, un evento exclusivo que ha reunido a más de </w:t>
      </w:r>
      <w:r w:rsidDel="00000000" w:rsidR="00000000" w:rsidRPr="00000000">
        <w:rPr>
          <w:rFonts w:ascii="Arial" w:cs="Arial" w:eastAsia="Arial" w:hAnsi="Arial"/>
          <w:sz w:val="22"/>
          <w:szCs w:val="22"/>
          <w:rtl w:val="0"/>
        </w:rPr>
        <w:t xml:space="preserve">250</w:t>
      </w:r>
      <w:r w:rsidDel="00000000" w:rsidR="00000000" w:rsidRPr="00000000">
        <w:rPr>
          <w:rFonts w:ascii="Arial" w:cs="Arial" w:eastAsia="Arial" w:hAnsi="Arial"/>
          <w:sz w:val="22"/>
          <w:szCs w:val="22"/>
          <w:rtl w:val="0"/>
        </w:rPr>
        <w:t xml:space="preserve"> profesionales del sector de la logística, el transporte y la intralogística. El encuentro ha ofrecido la oportunidad de conocer de cerca la nueva serie 1251 (E y Xi), así como explorar soluciones avanzadas en automatización, digitalización, seguridad y energía aplicadas a la manipulación de materiales.</w:t>
      </w:r>
    </w:p>
    <w:p w:rsidR="00000000" w:rsidDel="00000000" w:rsidP="00000000" w:rsidRDefault="00000000" w:rsidRPr="00000000" w14:paraId="00000007">
      <w:pPr>
        <w:spacing w:after="240" w:before="24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un entorno práctico y experiencial, los asistentes han recorrido distintas zonas temáticas como la </w:t>
      </w:r>
      <w:r w:rsidDel="00000000" w:rsidR="00000000" w:rsidRPr="00000000">
        <w:rPr>
          <w:rFonts w:ascii="Arial" w:cs="Arial" w:eastAsia="Arial" w:hAnsi="Arial"/>
          <w:i w:val="1"/>
          <w:sz w:val="22"/>
          <w:szCs w:val="22"/>
          <w:rtl w:val="0"/>
        </w:rPr>
        <w:t xml:space="preserve">driving experience</w:t>
      </w:r>
      <w:r w:rsidDel="00000000" w:rsidR="00000000" w:rsidRPr="00000000">
        <w:rPr>
          <w:rFonts w:ascii="Arial" w:cs="Arial" w:eastAsia="Arial" w:hAnsi="Arial"/>
          <w:sz w:val="22"/>
          <w:szCs w:val="22"/>
          <w:rtl w:val="0"/>
        </w:rPr>
        <w:t xml:space="preserve">, la zona de automatización, myLinde, energía o seguridad, interactuando con expertos y compartiendo experiencias del día a día en la operativa logística.</w:t>
      </w:r>
    </w:p>
    <w:p w:rsidR="00000000" w:rsidDel="00000000" w:rsidP="00000000" w:rsidRDefault="00000000" w:rsidRPr="00000000" w14:paraId="00000008">
      <w:pPr>
        <w:spacing w:after="240" w:before="240" w:line="360" w:lineRule="auto"/>
        <w:jc w:val="both"/>
        <w:rPr>
          <w:rFonts w:ascii="Arial" w:cs="Arial" w:eastAsia="Arial" w:hAnsi="Arial"/>
          <w:sz w:val="20"/>
          <w:szCs w:val="20"/>
        </w:rPr>
      </w:pPr>
      <w:r w:rsidDel="00000000" w:rsidR="00000000" w:rsidRPr="00000000">
        <w:rPr>
          <w:rFonts w:ascii="Arial" w:cs="Arial" w:eastAsia="Arial" w:hAnsi="Arial"/>
          <w:sz w:val="22"/>
          <w:szCs w:val="22"/>
          <w:rtl w:val="0"/>
        </w:rPr>
        <w:t xml:space="preserve">“En Linde Material Handling estamos comprometidos con la innovación constante para transformar la operativa logística. El evento de hoy en Madrid, en el marco de nuestra gira </w:t>
      </w:r>
      <w:r w:rsidDel="00000000" w:rsidR="00000000" w:rsidRPr="00000000">
        <w:rPr>
          <w:rFonts w:ascii="Arial" w:cs="Arial" w:eastAsia="Arial" w:hAnsi="Arial"/>
          <w:i w:val="1"/>
          <w:sz w:val="22"/>
          <w:szCs w:val="22"/>
          <w:rtl w:val="0"/>
        </w:rPr>
        <w:t xml:space="preserve">The Next Champ</w:t>
      </w:r>
      <w:r w:rsidDel="00000000" w:rsidR="00000000" w:rsidRPr="00000000">
        <w:rPr>
          <w:rFonts w:ascii="Arial" w:cs="Arial" w:eastAsia="Arial" w:hAnsi="Arial"/>
          <w:sz w:val="22"/>
          <w:szCs w:val="22"/>
          <w:rtl w:val="0"/>
        </w:rPr>
        <w:t xml:space="preserve">, ha sido una excelente oportunidad para mostrar las últimas soluciones tecnológicas que estamos desarrollando. Un importante refuerzo hacia nuestro compromiso con la cercanía y la innovación, claves para mejorar la operativa logística”, señala</w:t>
      </w:r>
      <w:r w:rsidDel="00000000" w:rsidR="00000000" w:rsidRPr="00000000">
        <w:rPr>
          <w:rFonts w:ascii="Arial" w:cs="Arial" w:eastAsia="Arial" w:hAnsi="Arial"/>
          <w:sz w:val="22"/>
          <w:szCs w:val="22"/>
          <w:rtl w:val="0"/>
        </w:rPr>
        <w:t xml:space="preserve"> Jaime Gener, director general de Linde Material Handling Ibérica.</w:t>
      </w:r>
      <w:r w:rsidDel="00000000" w:rsidR="00000000" w:rsidRPr="00000000">
        <w:rPr>
          <w:rtl w:val="0"/>
        </w:rPr>
      </w:r>
    </w:p>
    <w:p w:rsidR="00000000" w:rsidDel="00000000" w:rsidP="00000000" w:rsidRDefault="00000000" w:rsidRPr="00000000" w14:paraId="00000009">
      <w:pPr>
        <w:spacing w:after="240" w:before="240" w:line="360" w:lineRule="auto"/>
        <w:jc w:val="both"/>
        <w:rPr>
          <w:rFonts w:ascii="Arial" w:cs="Arial" w:eastAsia="Arial" w:hAnsi="Arial"/>
          <w:i w:val="1"/>
          <w:sz w:val="22"/>
          <w:szCs w:val="22"/>
          <w:highlight w:val="yellow"/>
        </w:rPr>
      </w:pPr>
      <w:r w:rsidDel="00000000" w:rsidR="00000000" w:rsidRPr="00000000">
        <w:rPr>
          <w:rtl w:val="0"/>
        </w:rPr>
      </w:r>
    </w:p>
    <w:p w:rsidR="00000000" w:rsidDel="00000000" w:rsidP="00000000" w:rsidRDefault="00000000" w:rsidRPr="00000000" w14:paraId="0000000A">
      <w:pPr>
        <w:spacing w:after="240" w:before="240"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after="240" w:before="24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evento también ha contado con la presencia de varios partners estratégicos que colaboran habitualmente con Linde y que son referentes internacionales en sus respectivas especialidades:</w:t>
      </w:r>
    </w:p>
    <w:p w:rsidR="00000000" w:rsidDel="00000000" w:rsidP="00000000" w:rsidRDefault="00000000" w:rsidRPr="00000000" w14:paraId="0000000C">
      <w:pPr>
        <w:spacing w:after="240" w:before="240"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KAUP GmbH &amp; Co. KG</w:t>
        <w:br w:type="textWrapping"/>
      </w:r>
      <w:r w:rsidDel="00000000" w:rsidR="00000000" w:rsidRPr="00000000">
        <w:rPr>
          <w:rFonts w:ascii="Arial" w:cs="Arial" w:eastAsia="Arial" w:hAnsi="Arial"/>
          <w:sz w:val="22"/>
          <w:szCs w:val="22"/>
          <w:rtl w:val="0"/>
        </w:rPr>
        <w:t xml:space="preserve">Empresa familiar alemana con más de 63 años de historia, reconocida como el mayor líder mundial independiente en la fabricación de accesorios para carretillas elevadoras. Desde su sede en Aschaffenburg, y bajo la dirección de Holger Kaup, ofrece una amplia gama de soluciones para la manipulación de materiales, incluyendo manipuladores de contenedores. Con 12 filiales y 19 representantes en todo el mundo, produce más de 35.000 implementos al año. Su enfoque en innovación y calidad, certificado por la norma DIN EN ISO 9001, la convierte en un socio estratégico en la logística moderna.</w:t>
      </w:r>
    </w:p>
    <w:p w:rsidR="00000000" w:rsidDel="00000000" w:rsidP="00000000" w:rsidRDefault="00000000" w:rsidRPr="00000000" w14:paraId="0000000D">
      <w:pPr>
        <w:spacing w:after="240" w:before="240"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VETTER Industrie GmbH</w:t>
        <w:br w:type="textWrapping"/>
      </w:r>
      <w:r w:rsidDel="00000000" w:rsidR="00000000" w:rsidRPr="00000000">
        <w:rPr>
          <w:rFonts w:ascii="Arial" w:cs="Arial" w:eastAsia="Arial" w:hAnsi="Arial"/>
          <w:sz w:val="22"/>
          <w:szCs w:val="22"/>
          <w:rtl w:val="0"/>
        </w:rPr>
        <w:t xml:space="preserve">Con más de 130 años de trayectoria, esta empresa familiar alemana lidera la fabricación de horquillas para carretillas elevadoras en Europa. Desde sus plantas en Alemania y EE.UU., ofrece soluciones que van desde horquillas estándar hasta sistemas inteligentes como </w:t>
      </w:r>
      <w:r w:rsidDel="00000000" w:rsidR="00000000" w:rsidRPr="00000000">
        <w:rPr>
          <w:rFonts w:ascii="Arial" w:cs="Arial" w:eastAsia="Arial" w:hAnsi="Arial"/>
          <w:b w:val="1"/>
          <w:sz w:val="22"/>
          <w:szCs w:val="22"/>
          <w:rtl w:val="0"/>
        </w:rPr>
        <w:t xml:space="preserve">SmartFork®</w:t>
      </w:r>
      <w:r w:rsidDel="00000000" w:rsidR="00000000" w:rsidRPr="00000000">
        <w:rPr>
          <w:rFonts w:ascii="Arial" w:cs="Arial" w:eastAsia="Arial" w:hAnsi="Arial"/>
          <w:sz w:val="22"/>
          <w:szCs w:val="22"/>
          <w:rtl w:val="0"/>
        </w:rPr>
        <w:t xml:space="preserve"> (con cámaras y láser) o revestimientos antideslizantes </w:t>
      </w:r>
      <w:r w:rsidDel="00000000" w:rsidR="00000000" w:rsidRPr="00000000">
        <w:rPr>
          <w:rFonts w:ascii="Arial" w:cs="Arial" w:eastAsia="Arial" w:hAnsi="Arial"/>
          <w:b w:val="1"/>
          <w:sz w:val="22"/>
          <w:szCs w:val="22"/>
          <w:rtl w:val="0"/>
        </w:rPr>
        <w:t xml:space="preserve">CROC®</w:t>
      </w:r>
      <w:r w:rsidDel="00000000" w:rsidR="00000000" w:rsidRPr="00000000">
        <w:rPr>
          <w:rFonts w:ascii="Arial" w:cs="Arial" w:eastAsia="Arial" w:hAnsi="Arial"/>
          <w:sz w:val="22"/>
          <w:szCs w:val="22"/>
          <w:rtl w:val="0"/>
        </w:rPr>
        <w:t xml:space="preserve">, diseñados para mejorar la seguridad y eficiencia en entornos logísticos cada vez más exigentes.</w:t>
      </w:r>
    </w:p>
    <w:p w:rsidR="00000000" w:rsidDel="00000000" w:rsidP="00000000" w:rsidRDefault="00000000" w:rsidRPr="00000000" w14:paraId="0000000E">
      <w:pPr>
        <w:spacing w:after="240" w:before="240"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Bolzoni Auramo</w:t>
        <w:br w:type="textWrapping"/>
      </w:r>
      <w:r w:rsidDel="00000000" w:rsidR="00000000" w:rsidRPr="00000000">
        <w:rPr>
          <w:rFonts w:ascii="Arial" w:cs="Arial" w:eastAsia="Arial" w:hAnsi="Arial"/>
          <w:sz w:val="22"/>
          <w:szCs w:val="22"/>
          <w:rtl w:val="0"/>
        </w:rPr>
        <w:t xml:space="preserve">Especializada en soluciones de manipulación para sectores como papel, reciclaje y logística, esta marca del Grupo Bolzoni fue fundada en 1947 en Finlandia. Desde entonces, ha desarrollado una amplia gama de pinzas para bobinas y balas, combinando herencia técnica y tecnología avanzada. Sus soluciones se caracterizan por la robustez, seguridad y personalización, mejorando el rendimiento sin comprometer la calidad.</w:t>
      </w:r>
    </w:p>
    <w:p w:rsidR="00000000" w:rsidDel="00000000" w:rsidP="00000000" w:rsidRDefault="00000000" w:rsidRPr="00000000" w14:paraId="0000000F">
      <w:pPr>
        <w:spacing w:after="240" w:before="240"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Continental</w:t>
        <w:br w:type="textWrapping"/>
      </w:r>
      <w:r w:rsidDel="00000000" w:rsidR="00000000" w:rsidRPr="00000000">
        <w:rPr>
          <w:rFonts w:ascii="Arial" w:cs="Arial" w:eastAsia="Arial" w:hAnsi="Arial"/>
          <w:sz w:val="22"/>
          <w:szCs w:val="22"/>
          <w:rtl w:val="0"/>
        </w:rPr>
        <w:t xml:space="preserve">Referente mundial en soluciones de neumáticos industriales, Continental ofrece una gama completa para maquinaria de manipulación interna: desde neumáticos radiales y cross ply hasta sólidos y OTR para condiciones exigentes. Modelos como </w:t>
      </w:r>
      <w:r w:rsidDel="00000000" w:rsidR="00000000" w:rsidRPr="00000000">
        <w:rPr>
          <w:rFonts w:ascii="Arial" w:cs="Arial" w:eastAsia="Arial" w:hAnsi="Arial"/>
          <w:b w:val="1"/>
          <w:sz w:val="22"/>
          <w:szCs w:val="22"/>
          <w:rtl w:val="0"/>
        </w:rPr>
        <w:t xml:space="preserve">ContiRV20</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SC20 Mileage+</w:t>
      </w:r>
      <w:r w:rsidDel="00000000" w:rsidR="00000000" w:rsidRPr="00000000">
        <w:rPr>
          <w:rFonts w:ascii="Arial" w:cs="Arial" w:eastAsia="Arial" w:hAnsi="Arial"/>
          <w:sz w:val="22"/>
          <w:szCs w:val="22"/>
          <w:rtl w:val="0"/>
        </w:rPr>
        <w:t xml:space="preserve"> o </w:t>
      </w:r>
      <w:r w:rsidDel="00000000" w:rsidR="00000000" w:rsidRPr="00000000">
        <w:rPr>
          <w:rFonts w:ascii="Arial" w:cs="Arial" w:eastAsia="Arial" w:hAnsi="Arial"/>
          <w:b w:val="1"/>
          <w:sz w:val="22"/>
          <w:szCs w:val="22"/>
          <w:rtl w:val="0"/>
        </w:rPr>
        <w:t xml:space="preserve">ContainerMaster+</w:t>
      </w:r>
      <w:r w:rsidDel="00000000" w:rsidR="00000000" w:rsidRPr="00000000">
        <w:rPr>
          <w:rFonts w:ascii="Arial" w:cs="Arial" w:eastAsia="Arial" w:hAnsi="Arial"/>
          <w:sz w:val="22"/>
          <w:szCs w:val="22"/>
          <w:rtl w:val="0"/>
        </w:rPr>
        <w:t xml:space="preserve"> destacan por su durabilidad, eficiencia energética y confort operativo. Su enfoque en la innovación y la ingeniería alemana de precisión los convierte en un aliado clave en la mejora de la eficiencia logística.</w:t>
      </w:r>
    </w:p>
    <w:p w:rsidR="00000000" w:rsidDel="00000000" w:rsidP="00000000" w:rsidRDefault="00000000" w:rsidRPr="00000000" w14:paraId="00000010">
      <w:pPr>
        <w:spacing w:after="240" w:before="24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 esta cita en Madrid, el Roadshow ‘The Next Champ’ continúa consolidando el compromiso de Linde con la innovación, la cercanía y el desarrollo de soluciones que transforman la logística desde dentro. Próximamente, la gira continuará en nuevas ciudades de España y Portugal.</w:t>
      </w:r>
    </w:p>
    <w:p w:rsidR="00000000" w:rsidDel="00000000" w:rsidP="00000000" w:rsidRDefault="00000000" w:rsidRPr="00000000" w14:paraId="00000011">
      <w:pPr>
        <w:spacing w:after="240" w:before="240"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after="240" w:before="240" w:line="360" w:lineRule="auto"/>
        <w:rPr>
          <w:rFonts w:ascii="Calibri" w:cs="Calibri" w:eastAsia="Calibri" w:hAnsi="Calibri"/>
          <w:b w:val="1"/>
        </w:rPr>
      </w:pPr>
      <w:r w:rsidDel="00000000" w:rsidR="00000000" w:rsidRPr="00000000">
        <w:rPr>
          <w:rFonts w:ascii="Calibri" w:cs="Calibri" w:eastAsia="Calibri" w:hAnsi="Calibri"/>
          <w:b w:val="1"/>
          <w:rtl w:val="0"/>
        </w:rPr>
        <w:t xml:space="preserve"> ¡Nos vemos en la próxima parada del Roadshow 2025: Lisboa, el 18 de junio!</w:t>
      </w:r>
    </w:p>
    <w:p w:rsidR="00000000" w:rsidDel="00000000" w:rsidP="00000000" w:rsidRDefault="00000000" w:rsidRPr="00000000" w14:paraId="00000013">
      <w:pPr>
        <w:shd w:fill="ffffff" w:val="clea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Revive algunos momentos del evento aquí:</w:t>
      </w:r>
      <w:hyperlink r:id="rId7">
        <w:r w:rsidDel="00000000" w:rsidR="00000000" w:rsidRPr="00000000">
          <w:rPr>
            <w:rFonts w:ascii="Calibri" w:cs="Calibri" w:eastAsia="Calibri" w:hAnsi="Calibri"/>
            <w:rtl w:val="0"/>
          </w:rPr>
          <w:t xml:space="preserve"> </w:t>
        </w:r>
      </w:hyperlink>
      <w:r w:rsidDel="00000000" w:rsidR="00000000" w:rsidRPr="00000000">
        <w:rPr>
          <w:rtl w:val="0"/>
        </w:rPr>
      </w:r>
    </w:p>
    <w:p w:rsidR="00000000" w:rsidDel="00000000" w:rsidP="00000000" w:rsidRDefault="00000000" w:rsidRPr="00000000" w14:paraId="00000014">
      <w:pPr>
        <w:shd w:fill="ffffff" w:val="clear"/>
        <w:spacing w:after="240" w:before="240" w:line="360" w:lineRule="auto"/>
        <w:ind w:right="600"/>
        <w:rPr>
          <w:rFonts w:ascii="Arial" w:cs="Arial" w:eastAsia="Arial" w:hAnsi="Arial"/>
          <w:color w:val="222222"/>
          <w:sz w:val="22"/>
          <w:szCs w:val="22"/>
        </w:rPr>
      </w:pPr>
      <w:r w:rsidDel="00000000" w:rsidR="00000000" w:rsidRPr="00000000">
        <w:rPr>
          <w:rFonts w:ascii="Calibri" w:cs="Calibri" w:eastAsia="Calibri" w:hAnsi="Calibri"/>
          <w:b w:val="1"/>
          <w:sz w:val="26"/>
          <w:szCs w:val="26"/>
          <w:rtl w:val="0"/>
        </w:rPr>
        <w:t xml:space="preserve">Próximas citas del  Roadshow 2025</w:t>
      </w:r>
      <w:r w:rsidDel="00000000" w:rsidR="00000000" w:rsidRPr="00000000">
        <w:rPr>
          <w:rFonts w:ascii="Arial" w:cs="Arial" w:eastAsia="Arial" w:hAnsi="Arial"/>
          <w:color w:val="222222"/>
          <w:sz w:val="22"/>
          <w:szCs w:val="22"/>
          <w:rtl w:val="0"/>
        </w:rPr>
        <w:t xml:space="preserve"> </w:t>
      </w:r>
    </w:p>
    <w:p w:rsidR="00000000" w:rsidDel="00000000" w:rsidP="00000000" w:rsidRDefault="00000000" w:rsidRPr="00000000" w14:paraId="00000015">
      <w:pPr>
        <w:numPr>
          <w:ilvl w:val="0"/>
          <w:numId w:val="1"/>
        </w:numPr>
        <w:spacing w:line="360" w:lineRule="auto"/>
        <w:ind w:left="720" w:hanging="360"/>
        <w:jc w:val="both"/>
        <w:rPr>
          <w:rFonts w:ascii="Arial" w:cs="Arial" w:eastAsia="Arial" w:hAnsi="Arial"/>
          <w:color w:val="222222"/>
          <w:sz w:val="22"/>
          <w:szCs w:val="22"/>
        </w:rPr>
      </w:pPr>
      <w:r w:rsidDel="00000000" w:rsidR="00000000" w:rsidRPr="00000000">
        <w:rPr>
          <w:rFonts w:ascii="Arial" w:cs="Arial" w:eastAsia="Arial" w:hAnsi="Arial"/>
          <w:b w:val="1"/>
          <w:color w:val="222222"/>
          <w:sz w:val="22"/>
          <w:szCs w:val="22"/>
          <w:rtl w:val="0"/>
        </w:rPr>
        <w:t xml:space="preserve">Lisboa</w:t>
      </w:r>
      <w:r w:rsidDel="00000000" w:rsidR="00000000" w:rsidRPr="00000000">
        <w:rPr>
          <w:rFonts w:ascii="Arial" w:cs="Arial" w:eastAsia="Arial" w:hAnsi="Arial"/>
          <w:color w:val="222222"/>
          <w:sz w:val="22"/>
          <w:szCs w:val="22"/>
          <w:rtl w:val="0"/>
        </w:rPr>
        <w:t xml:space="preserve">: 18 de junio, de 10:30 a 15:00 h</w:t>
      </w:r>
    </w:p>
    <w:p w:rsidR="00000000" w:rsidDel="00000000" w:rsidP="00000000" w:rsidRDefault="00000000" w:rsidRPr="00000000" w14:paraId="00000016">
      <w:pPr>
        <w:numPr>
          <w:ilvl w:val="0"/>
          <w:numId w:val="1"/>
        </w:numPr>
        <w:spacing w:line="360" w:lineRule="auto"/>
        <w:ind w:left="720" w:hanging="360"/>
        <w:jc w:val="both"/>
        <w:rPr>
          <w:rFonts w:ascii="Arial" w:cs="Arial" w:eastAsia="Arial" w:hAnsi="Arial"/>
          <w:color w:val="222222"/>
          <w:sz w:val="22"/>
          <w:szCs w:val="22"/>
        </w:rPr>
      </w:pPr>
      <w:r w:rsidDel="00000000" w:rsidR="00000000" w:rsidRPr="00000000">
        <w:rPr>
          <w:rFonts w:ascii="Arial" w:cs="Arial" w:eastAsia="Arial" w:hAnsi="Arial"/>
          <w:b w:val="1"/>
          <w:color w:val="222222"/>
          <w:sz w:val="22"/>
          <w:szCs w:val="22"/>
          <w:rtl w:val="0"/>
        </w:rPr>
        <w:t xml:space="preserve">Barcelona</w:t>
      </w:r>
      <w:r w:rsidDel="00000000" w:rsidR="00000000" w:rsidRPr="00000000">
        <w:rPr>
          <w:rFonts w:ascii="Arial" w:cs="Arial" w:eastAsia="Arial" w:hAnsi="Arial"/>
          <w:color w:val="222222"/>
          <w:sz w:val="22"/>
          <w:szCs w:val="22"/>
          <w:rtl w:val="0"/>
        </w:rPr>
        <w:t xml:space="preserve">: 2 de octubre, de 10:30 a 15:00 h  – </w:t>
      </w:r>
      <w:r w:rsidDel="00000000" w:rsidR="00000000" w:rsidRPr="00000000">
        <w:rPr>
          <w:rFonts w:ascii="Arial" w:cs="Arial" w:eastAsia="Arial" w:hAnsi="Arial"/>
          <w:b w:val="1"/>
          <w:color w:val="222222"/>
          <w:sz w:val="22"/>
          <w:szCs w:val="22"/>
          <w:rtl w:val="0"/>
        </w:rPr>
        <w:t xml:space="preserve">¡Evento especial de cierre de campaña!</w:t>
      </w:r>
    </w:p>
    <w:p w:rsidR="00000000" w:rsidDel="00000000" w:rsidP="00000000" w:rsidRDefault="00000000" w:rsidRPr="00000000" w14:paraId="00000017">
      <w:pPr>
        <w:spacing w:line="360" w:lineRule="auto"/>
        <w:jc w:val="both"/>
        <w:rPr>
          <w:rFonts w:ascii="Arial" w:cs="Arial" w:eastAsia="Arial" w:hAnsi="Arial"/>
          <w:b w:val="1"/>
          <w:color w:val="222222"/>
          <w:sz w:val="22"/>
          <w:szCs w:val="22"/>
        </w:rPr>
      </w:pPr>
      <w:r w:rsidDel="00000000" w:rsidR="00000000" w:rsidRPr="00000000">
        <w:rPr>
          <w:rtl w:val="0"/>
        </w:rPr>
      </w:r>
    </w:p>
    <w:p w:rsidR="00000000" w:rsidDel="00000000" w:rsidP="00000000" w:rsidRDefault="00000000" w:rsidRPr="00000000" w14:paraId="00000018">
      <w:pPr>
        <w:spacing w:after="240" w:before="240" w:line="360" w:lineRule="auto"/>
        <w:jc w:val="both"/>
        <w:rPr>
          <w:rFonts w:ascii="DaxPro-Light" w:cs="DaxPro-Light" w:eastAsia="DaxPro-Light" w:hAnsi="DaxPro-Light"/>
          <w:sz w:val="20"/>
          <w:szCs w:val="20"/>
        </w:rPr>
      </w:pPr>
      <w:r w:rsidDel="00000000" w:rsidR="00000000" w:rsidRPr="00000000">
        <w:rPr>
          <w:rFonts w:ascii="DaxPro-Light" w:cs="DaxPro-Light" w:eastAsia="DaxPro-Light" w:hAnsi="DaxPro-Light"/>
          <w:b w:val="1"/>
          <w:sz w:val="20"/>
          <w:szCs w:val="20"/>
          <w:rtl w:val="0"/>
        </w:rPr>
        <w:t xml:space="preserve">Acerca de Linde MHI</w:t>
      </w:r>
      <w:r w:rsidDel="00000000" w:rsidR="00000000" w:rsidRPr="00000000">
        <w:rPr>
          <w:rtl w:val="0"/>
        </w:rPr>
      </w:r>
    </w:p>
    <w:p w:rsidR="00000000" w:rsidDel="00000000" w:rsidP="00000000" w:rsidRDefault="00000000" w:rsidRPr="00000000" w14:paraId="00000019">
      <w:pPr>
        <w:spacing w:after="240" w:line="360" w:lineRule="auto"/>
        <w:jc w:val="both"/>
        <w:rPr>
          <w:rFonts w:ascii="DaxPro-Light" w:cs="DaxPro-Light" w:eastAsia="DaxPro-Light" w:hAnsi="DaxPro-Light"/>
          <w:sz w:val="20"/>
          <w:szCs w:val="20"/>
        </w:rPr>
      </w:pPr>
      <w:r w:rsidDel="00000000" w:rsidR="00000000" w:rsidRPr="00000000">
        <w:rPr>
          <w:rFonts w:ascii="DaxPro-Light" w:cs="DaxPro-Light" w:eastAsia="DaxPro-Light" w:hAnsi="DaxPro-Light"/>
          <w:sz w:val="20"/>
          <w:szCs w:val="20"/>
          <w:rtl w:val="0"/>
        </w:rPr>
        <w:t xml:space="preserve">Linde Material Handling Ibérica es la empresa más reconocida en el mercado ibérico del sector de la manutención, que ofrece soluciones integrales para la manipulación de mercancías. Sus líneas de negocio incluyen la comercialización de vehículos nuevos, servicios postventa, alquiler a corto y largo plazo, vehículos reacondicionados, gestión de flotas, soluciones automatizadas y consultoría intralogística integral.</w:t>
      </w:r>
    </w:p>
    <w:p w:rsidR="00000000" w:rsidDel="00000000" w:rsidP="00000000" w:rsidRDefault="00000000" w:rsidRPr="00000000" w14:paraId="0000001A">
      <w:pPr>
        <w:spacing w:after="240" w:line="360" w:lineRule="auto"/>
        <w:jc w:val="both"/>
        <w:rPr>
          <w:rFonts w:ascii="DaxPro-Light" w:cs="DaxPro-Light" w:eastAsia="DaxPro-Light" w:hAnsi="DaxPro-Light"/>
          <w:sz w:val="20"/>
          <w:szCs w:val="20"/>
        </w:rPr>
      </w:pPr>
      <w:r w:rsidDel="00000000" w:rsidR="00000000" w:rsidRPr="00000000">
        <w:rPr>
          <w:rFonts w:ascii="DaxPro-Light" w:cs="DaxPro-Light" w:eastAsia="DaxPro-Light" w:hAnsi="DaxPro-Light"/>
          <w:sz w:val="20"/>
          <w:szCs w:val="20"/>
          <w:rtl w:val="0"/>
        </w:rPr>
        <w:t xml:space="preserve">Con presencia a lo largo de toda la Península Ibérica, incluyendo las islas, cuenta con una densa red de 15 concesionarios y 12 delegaciones propias. Linde Material Handling Ibérica es la filial en España y Portugal de Linde Material Handling GmbH.</w:t>
      </w:r>
    </w:p>
    <w:p w:rsidR="00000000" w:rsidDel="00000000" w:rsidP="00000000" w:rsidRDefault="00000000" w:rsidRPr="00000000" w14:paraId="0000001B">
      <w:pPr>
        <w:spacing w:after="240" w:line="360" w:lineRule="auto"/>
        <w:jc w:val="both"/>
        <w:rPr>
          <w:rFonts w:ascii="DaxPro-Light" w:cs="DaxPro-Light" w:eastAsia="DaxPro-Light" w:hAnsi="DaxPro-Light"/>
          <w:b w:val="1"/>
          <w:sz w:val="20"/>
          <w:szCs w:val="20"/>
        </w:rPr>
      </w:pPr>
      <w:r w:rsidDel="00000000" w:rsidR="00000000" w:rsidRPr="00000000">
        <w:rPr>
          <w:rFonts w:ascii="DaxPro-Light" w:cs="DaxPro-Light" w:eastAsia="DaxPro-Light" w:hAnsi="DaxPro-Light"/>
          <w:b w:val="1"/>
          <w:sz w:val="20"/>
          <w:szCs w:val="20"/>
          <w:rtl w:val="0"/>
        </w:rPr>
        <w:t xml:space="preserve">Contacto de prensa</w:t>
      </w:r>
    </w:p>
    <w:p w:rsidR="00000000" w:rsidDel="00000000" w:rsidP="00000000" w:rsidRDefault="00000000" w:rsidRPr="00000000" w14:paraId="0000001C">
      <w:pPr>
        <w:tabs>
          <w:tab w:val="right" w:leader="none" w:pos="8759"/>
        </w:tabs>
        <w:spacing w:line="360" w:lineRule="auto"/>
        <w:jc w:val="both"/>
        <w:rPr>
          <w:rFonts w:ascii="DaxPro-Light" w:cs="DaxPro-Light" w:eastAsia="DaxPro-Light" w:hAnsi="DaxPro-Light"/>
          <w:b w:val="1"/>
          <w:sz w:val="20"/>
          <w:szCs w:val="20"/>
        </w:rPr>
      </w:pPr>
      <w:r w:rsidDel="00000000" w:rsidR="00000000" w:rsidRPr="00000000">
        <w:rPr>
          <w:rFonts w:ascii="DaxPro-Light" w:cs="DaxPro-Light" w:eastAsia="DaxPro-Light" w:hAnsi="DaxPro-Light"/>
          <w:b w:val="1"/>
          <w:sz w:val="20"/>
          <w:szCs w:val="20"/>
          <w:rtl w:val="0"/>
        </w:rPr>
        <w:t xml:space="preserve">Guillermo Tomás</w:t>
        <w:tab/>
        <w:t xml:space="preserve">Elena Zoreda</w:t>
      </w:r>
    </w:p>
    <w:p w:rsidR="00000000" w:rsidDel="00000000" w:rsidP="00000000" w:rsidRDefault="00000000" w:rsidRPr="00000000" w14:paraId="0000001D">
      <w:pPr>
        <w:tabs>
          <w:tab w:val="right" w:leader="none" w:pos="8759"/>
        </w:tabs>
        <w:spacing w:line="360" w:lineRule="auto"/>
        <w:jc w:val="both"/>
        <w:rPr>
          <w:rFonts w:ascii="DaxPro-Light" w:cs="DaxPro-Light" w:eastAsia="DaxPro-Light" w:hAnsi="DaxPro-Light"/>
          <w:sz w:val="20"/>
          <w:szCs w:val="20"/>
        </w:rPr>
      </w:pPr>
      <w:r w:rsidDel="00000000" w:rsidR="00000000" w:rsidRPr="00000000">
        <w:rPr>
          <w:rFonts w:ascii="DaxPro-Light" w:cs="DaxPro-Light" w:eastAsia="DaxPro-Light" w:hAnsi="DaxPro-Light"/>
          <w:sz w:val="20"/>
          <w:szCs w:val="20"/>
          <w:rtl w:val="0"/>
        </w:rPr>
        <w:t xml:space="preserve">Marketing &amp; Comunicación</w:t>
        <w:tab/>
        <w:t xml:space="preserve">Agencia de Comunicación </w:t>
      </w:r>
    </w:p>
    <w:p w:rsidR="00000000" w:rsidDel="00000000" w:rsidP="00000000" w:rsidRDefault="00000000" w:rsidRPr="00000000" w14:paraId="0000001E">
      <w:pPr>
        <w:tabs>
          <w:tab w:val="right" w:leader="none" w:pos="8759"/>
        </w:tabs>
        <w:spacing w:line="360" w:lineRule="auto"/>
        <w:jc w:val="both"/>
        <w:rPr>
          <w:rFonts w:ascii="DaxPro-Light" w:cs="DaxPro-Light" w:eastAsia="DaxPro-Light" w:hAnsi="DaxPro-Light"/>
          <w:sz w:val="20"/>
          <w:szCs w:val="20"/>
        </w:rPr>
      </w:pPr>
      <w:r w:rsidDel="00000000" w:rsidR="00000000" w:rsidRPr="00000000">
        <w:rPr>
          <w:rFonts w:ascii="DaxPro-Light" w:cs="DaxPro-Light" w:eastAsia="DaxPro-Light" w:hAnsi="DaxPro-Light"/>
          <w:sz w:val="20"/>
          <w:szCs w:val="20"/>
          <w:rtl w:val="0"/>
        </w:rPr>
        <w:t xml:space="preserve">Linde Material Handling Ibérica</w:t>
        <w:tab/>
        <w:t xml:space="preserve">Pelican_Catchy</w:t>
      </w:r>
    </w:p>
    <w:p w:rsidR="00000000" w:rsidDel="00000000" w:rsidP="00000000" w:rsidRDefault="00000000" w:rsidRPr="00000000" w14:paraId="0000001F">
      <w:pPr>
        <w:tabs>
          <w:tab w:val="right" w:leader="none" w:pos="8759"/>
        </w:tabs>
        <w:spacing w:line="360" w:lineRule="auto"/>
        <w:rPr>
          <w:rFonts w:ascii="DaxPro-Light" w:cs="DaxPro-Light" w:eastAsia="DaxPro-Light" w:hAnsi="DaxPro-Light"/>
          <w:sz w:val="20"/>
          <w:szCs w:val="20"/>
        </w:rPr>
      </w:pPr>
      <w:r w:rsidDel="00000000" w:rsidR="00000000" w:rsidRPr="00000000">
        <w:rPr>
          <w:rFonts w:ascii="DaxPro-Light" w:cs="DaxPro-Light" w:eastAsia="DaxPro-Light" w:hAnsi="DaxPro-Light"/>
          <w:sz w:val="20"/>
          <w:szCs w:val="20"/>
          <w:rtl w:val="0"/>
        </w:rPr>
        <w:t xml:space="preserve">Móvil: +34 663 92 92 50                                                                   Móvil: +34 611 16 45 97</w:t>
      </w:r>
    </w:p>
    <w:p w:rsidR="00000000" w:rsidDel="00000000" w:rsidP="00000000" w:rsidRDefault="00000000" w:rsidRPr="00000000" w14:paraId="00000020">
      <w:pPr>
        <w:tabs>
          <w:tab w:val="right" w:leader="none" w:pos="8759"/>
        </w:tabs>
        <w:spacing w:line="360" w:lineRule="auto"/>
        <w:rPr>
          <w:sz w:val="20"/>
          <w:szCs w:val="20"/>
        </w:rPr>
      </w:pPr>
      <w:hyperlink r:id="rId8">
        <w:r w:rsidDel="00000000" w:rsidR="00000000" w:rsidRPr="00000000">
          <w:rPr>
            <w:rFonts w:ascii="DaxPro-Light" w:cs="DaxPro-Light" w:eastAsia="DaxPro-Light" w:hAnsi="DaxPro-Light"/>
            <w:color w:val="0563c1"/>
            <w:sz w:val="20"/>
            <w:szCs w:val="20"/>
            <w:u w:val="single"/>
            <w:rtl w:val="0"/>
          </w:rPr>
          <w:t xml:space="preserve">guillermo.tomas@linde-mh.es</w:t>
        </w:r>
      </w:hyperlink>
      <w:r w:rsidDel="00000000" w:rsidR="00000000" w:rsidRPr="00000000">
        <w:rPr>
          <w:rFonts w:ascii="DaxPro-Light" w:cs="DaxPro-Light" w:eastAsia="DaxPro-Light" w:hAnsi="DaxPro-Light"/>
          <w:sz w:val="20"/>
          <w:szCs w:val="20"/>
          <w:u w:val="single"/>
          <w:rtl w:val="0"/>
        </w:rPr>
        <w:t xml:space="preserve"> </w:t>
      </w:r>
      <w:r w:rsidDel="00000000" w:rsidR="00000000" w:rsidRPr="00000000">
        <w:rPr>
          <w:rFonts w:ascii="DaxPro-Light" w:cs="DaxPro-Light" w:eastAsia="DaxPro-Light" w:hAnsi="DaxPro-Light"/>
          <w:sz w:val="20"/>
          <w:szCs w:val="20"/>
          <w:rtl w:val="0"/>
        </w:rPr>
        <w:tab/>
      </w:r>
      <w:hyperlink r:id="rId9">
        <w:r w:rsidDel="00000000" w:rsidR="00000000" w:rsidRPr="00000000">
          <w:rPr>
            <w:rFonts w:ascii="DaxPro-Light" w:cs="DaxPro-Light" w:eastAsia="DaxPro-Light" w:hAnsi="DaxPro-Light"/>
            <w:color w:val="1155cc"/>
            <w:sz w:val="20"/>
            <w:szCs w:val="20"/>
            <w:u w:val="single"/>
            <w:rtl w:val="0"/>
          </w:rPr>
          <w:t xml:space="preserve">elena@pelicancatchy.com</w:t>
        </w:r>
      </w:hyperlink>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40" w:w="11900" w:orient="portrait"/>
      <w:pgMar w:bottom="1134" w:top="2859" w:left="1417" w:right="169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New Roman"/>
  <w:font w:name="DaxPro-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152400</wp:posOffset>
              </wp:positionV>
              <wp:extent cx="3155950" cy="590550"/>
              <wp:effectExtent b="0" l="0" r="0" t="0"/>
              <wp:wrapNone/>
              <wp:docPr id="11" name=""/>
              <a:graphic>
                <a:graphicData uri="http://schemas.microsoft.com/office/word/2010/wordprocessingShape">
                  <wps:wsp>
                    <wps:cNvSpPr/>
                    <wps:cNvPr id="2" name="Shape 2"/>
                    <wps:spPr>
                      <a:xfrm>
                        <a:off x="3777550" y="3494250"/>
                        <a:ext cx="3136900" cy="571500"/>
                      </a:xfrm>
                      <a:prstGeom prst="rect">
                        <a:avLst/>
                      </a:prstGeom>
                      <a:solidFill>
                        <a:srgbClr val="FFFFFF"/>
                      </a:solidFill>
                      <a:ln>
                        <a:noFill/>
                      </a:ln>
                    </wps:spPr>
                    <wps:txbx>
                      <w:txbxContent>
                        <w:p w:rsidR="00000000" w:rsidDel="00000000" w:rsidP="00000000" w:rsidRDefault="00000000" w:rsidRPr="00000000">
                          <w:pPr>
                            <w:spacing w:after="0" w:before="0" w:line="300"/>
                            <w:ind w:left="567.0000076293945" w:right="0" w:firstLine="1701.0000610351562"/>
                            <w:jc w:val="left"/>
                            <w:textDirection w:val="btLr"/>
                          </w:pPr>
                        </w:p>
                        <w:p w:rsidR="00000000" w:rsidDel="00000000" w:rsidP="00000000" w:rsidRDefault="00000000" w:rsidRPr="00000000">
                          <w:pPr>
                            <w:spacing w:after="0" w:before="0" w:line="300"/>
                            <w:ind w:left="567.0000076293945" w:right="0" w:firstLine="1701.0000610351562"/>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DaxPro-Medium" w:cs="DaxPro-Medium" w:eastAsia="DaxPro-Medium" w:hAnsi="DaxPro-Medium"/>
                              <w:b w:val="0"/>
                              <w:i w:val="0"/>
                              <w:smallCaps w:val="0"/>
                              <w:strike w:val="0"/>
                              <w:color w:val="000000"/>
                              <w:sz w:val="36"/>
                              <w:vertAlign w:val="baseline"/>
                            </w:rPr>
                            <w:t xml:space="preserve">NOTA DE PRENSA</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152400</wp:posOffset>
              </wp:positionV>
              <wp:extent cx="3155950" cy="590550"/>
              <wp:effectExtent b="0" l="0" r="0" t="0"/>
              <wp:wrapNone/>
              <wp:docPr id="1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155950" cy="5905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4465955</wp:posOffset>
          </wp:positionH>
          <wp:positionV relativeFrom="paragraph">
            <wp:posOffset>-220973</wp:posOffset>
          </wp:positionV>
          <wp:extent cx="1906905" cy="1143635"/>
          <wp:effectExtent b="0" l="0" r="0" t="0"/>
          <wp:wrapNone/>
          <wp:docPr id="1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906905" cy="114363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405C7"/>
    <w:rPr>
      <w:lang w:eastAsia="de-DE"/>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Zusammenfassung" w:customStyle="1">
    <w:name w:val="Zusammenfassung"/>
    <w:basedOn w:val="Normal"/>
    <w:rsid w:val="00155B85"/>
    <w:pPr>
      <w:spacing w:line="300" w:lineRule="exact"/>
    </w:pPr>
    <w:rPr>
      <w:rFonts w:ascii="LindeDax-Regular" w:hAnsi="LindeDax-Regular"/>
      <w:sz w:val="22"/>
    </w:rPr>
  </w:style>
  <w:style w:type="character" w:styleId="Hipervnculo">
    <w:name w:val="Hyperlink"/>
    <w:basedOn w:val="Fuentedeprrafopredeter"/>
    <w:uiPriority w:val="99"/>
    <w:unhideWhenUsed w:val="1"/>
    <w:rsid w:val="00155B85"/>
    <w:rPr>
      <w:color w:val="0563c1" w:themeColor="hyperlink"/>
      <w:u w:val="single"/>
    </w:rPr>
  </w:style>
  <w:style w:type="character" w:styleId="Refdecomentario">
    <w:name w:val="annotation reference"/>
    <w:basedOn w:val="Fuentedeprrafopredeter"/>
    <w:uiPriority w:val="99"/>
    <w:semiHidden w:val="1"/>
    <w:unhideWhenUsed w:val="1"/>
    <w:rsid w:val="001405C7"/>
    <w:rPr>
      <w:sz w:val="18"/>
      <w:szCs w:val="18"/>
    </w:rPr>
  </w:style>
  <w:style w:type="paragraph" w:styleId="Textocomentario">
    <w:name w:val="annotation text"/>
    <w:basedOn w:val="Normal"/>
    <w:link w:val="TextocomentarioCar"/>
    <w:uiPriority w:val="99"/>
    <w:semiHidden w:val="1"/>
    <w:unhideWhenUsed w:val="1"/>
    <w:rsid w:val="001405C7"/>
    <w:rPr>
      <w:rFonts w:asciiTheme="minorHAnsi" w:cstheme="minorBidi" w:hAnsiTheme="minorHAnsi"/>
      <w:lang w:eastAsia="en-US"/>
    </w:rPr>
  </w:style>
  <w:style w:type="character" w:styleId="TextocomentarioCar" w:customStyle="1">
    <w:name w:val="Texto comentario Car"/>
    <w:basedOn w:val="Fuentedeprrafopredeter"/>
    <w:link w:val="Textocomentario"/>
    <w:uiPriority w:val="99"/>
    <w:semiHidden w:val="1"/>
    <w:rsid w:val="001405C7"/>
    <w:rPr>
      <w:sz w:val="24"/>
      <w:szCs w:val="24"/>
    </w:rPr>
  </w:style>
  <w:style w:type="paragraph" w:styleId="Textodeglobo">
    <w:name w:val="Balloon Text"/>
    <w:basedOn w:val="Normal"/>
    <w:link w:val="TextodegloboCar"/>
    <w:uiPriority w:val="99"/>
    <w:semiHidden w:val="1"/>
    <w:unhideWhenUsed w:val="1"/>
    <w:rsid w:val="001405C7"/>
    <w:rPr>
      <w:sz w:val="18"/>
      <w:szCs w:val="18"/>
    </w:rPr>
  </w:style>
  <w:style w:type="character" w:styleId="TextodegloboCar" w:customStyle="1">
    <w:name w:val="Texto de globo Car"/>
    <w:basedOn w:val="Fuentedeprrafopredeter"/>
    <w:link w:val="Textodeglobo"/>
    <w:uiPriority w:val="99"/>
    <w:semiHidden w:val="1"/>
    <w:rsid w:val="001405C7"/>
    <w:rPr>
      <w:rFonts w:ascii="Times New Roman" w:cs="Times New Roman" w:hAnsi="Times New Roman"/>
      <w:sz w:val="18"/>
      <w:szCs w:val="18"/>
      <w:lang w:eastAsia="de-DE"/>
    </w:rPr>
  </w:style>
  <w:style w:type="paragraph" w:styleId="Encabezado">
    <w:name w:val="header"/>
    <w:basedOn w:val="Normal"/>
    <w:link w:val="EncabezadoCar"/>
    <w:uiPriority w:val="99"/>
    <w:unhideWhenUsed w:val="1"/>
    <w:rsid w:val="001405C7"/>
    <w:pPr>
      <w:tabs>
        <w:tab w:val="center" w:pos="4536"/>
        <w:tab w:val="right" w:pos="9072"/>
      </w:tabs>
    </w:pPr>
  </w:style>
  <w:style w:type="character" w:styleId="EncabezadoCar" w:customStyle="1">
    <w:name w:val="Encabezado Car"/>
    <w:basedOn w:val="Fuentedeprrafopredeter"/>
    <w:link w:val="Encabezado"/>
    <w:uiPriority w:val="99"/>
    <w:rsid w:val="001405C7"/>
    <w:rPr>
      <w:rFonts w:ascii="Times New Roman" w:cs="Times New Roman" w:hAnsi="Times New Roman"/>
      <w:sz w:val="24"/>
      <w:szCs w:val="24"/>
      <w:lang w:eastAsia="de-DE"/>
    </w:rPr>
  </w:style>
  <w:style w:type="paragraph" w:styleId="Piedepgina">
    <w:name w:val="footer"/>
    <w:basedOn w:val="Normal"/>
    <w:link w:val="PiedepginaCar"/>
    <w:uiPriority w:val="99"/>
    <w:unhideWhenUsed w:val="1"/>
    <w:rsid w:val="001405C7"/>
    <w:pPr>
      <w:tabs>
        <w:tab w:val="center" w:pos="4536"/>
        <w:tab w:val="right" w:pos="9072"/>
      </w:tabs>
    </w:pPr>
  </w:style>
  <w:style w:type="character" w:styleId="PiedepginaCar" w:customStyle="1">
    <w:name w:val="Pie de página Car"/>
    <w:basedOn w:val="Fuentedeprrafopredeter"/>
    <w:link w:val="Piedepgina"/>
    <w:uiPriority w:val="99"/>
    <w:rsid w:val="001405C7"/>
    <w:rPr>
      <w:rFonts w:ascii="Times New Roman" w:cs="Times New Roman" w:hAnsi="Times New Roman"/>
      <w:sz w:val="24"/>
      <w:szCs w:val="24"/>
      <w:lang w:eastAsia="de-DE"/>
    </w:rPr>
  </w:style>
  <w:style w:type="paragraph" w:styleId="Asuntodelcomentario">
    <w:name w:val="annotation subject"/>
    <w:basedOn w:val="Textocomentario"/>
    <w:next w:val="Textocomentario"/>
    <w:link w:val="AsuntodelcomentarioCar"/>
    <w:uiPriority w:val="99"/>
    <w:semiHidden w:val="1"/>
    <w:unhideWhenUsed w:val="1"/>
    <w:rsid w:val="001405C7"/>
    <w:rPr>
      <w:rFonts w:ascii="Times New Roman" w:cs="Times New Roman" w:hAnsi="Times New Roman"/>
      <w:b w:val="1"/>
      <w:bCs w:val="1"/>
      <w:sz w:val="20"/>
      <w:szCs w:val="20"/>
      <w:lang w:eastAsia="de-DE"/>
    </w:rPr>
  </w:style>
  <w:style w:type="character" w:styleId="AsuntodelcomentarioCar" w:customStyle="1">
    <w:name w:val="Asunto del comentario Car"/>
    <w:basedOn w:val="TextocomentarioCar"/>
    <w:link w:val="Asuntodelcomentario"/>
    <w:uiPriority w:val="99"/>
    <w:semiHidden w:val="1"/>
    <w:rsid w:val="001405C7"/>
    <w:rPr>
      <w:rFonts w:ascii="Times New Roman" w:cs="Times New Roman" w:hAnsi="Times New Roman"/>
      <w:b w:val="1"/>
      <w:bCs w:val="1"/>
      <w:sz w:val="20"/>
      <w:szCs w:val="20"/>
      <w:lang w:eastAsia="de-DE"/>
    </w:rPr>
  </w:style>
  <w:style w:type="paragraph" w:styleId="Default" w:customStyle="1">
    <w:name w:val="Default"/>
    <w:rsid w:val="001405C7"/>
    <w:pPr>
      <w:autoSpaceDE w:val="0"/>
      <w:autoSpaceDN w:val="0"/>
      <w:adjustRightInd w:val="0"/>
    </w:pPr>
    <w:rPr>
      <w:rFonts w:ascii="Dax Offc Pro" w:cs="Dax Offc Pro" w:hAnsi="Dax Offc Pro"/>
      <w:color w:val="000000"/>
    </w:rPr>
  </w:style>
  <w:style w:type="paragraph" w:styleId="Prrafodelista">
    <w:name w:val="List Paragraph"/>
    <w:basedOn w:val="Normal"/>
    <w:uiPriority w:val="34"/>
    <w:rsid w:val="001405C7"/>
    <w:pPr>
      <w:spacing w:line="260" w:lineRule="atLeast"/>
      <w:ind w:left="720"/>
      <w:contextualSpacing w:val="1"/>
    </w:pPr>
    <w:rPr>
      <w:rFonts w:asciiTheme="minorHAnsi" w:cstheme="minorBidi" w:hAnsiTheme="minorHAnsi"/>
      <w:sz w:val="19"/>
      <w:szCs w:val="22"/>
      <w:lang w:eastAsia="en-US"/>
    </w:rPr>
  </w:style>
  <w:style w:type="paragraph" w:styleId="Revisin">
    <w:name w:val="Revision"/>
    <w:hidden w:val="1"/>
    <w:uiPriority w:val="99"/>
    <w:semiHidden w:val="1"/>
    <w:rsid w:val="001405C7"/>
    <w:rPr>
      <w:lang w:eastAsia="de-DE"/>
    </w:rPr>
  </w:style>
  <w:style w:type="character" w:styleId="Hipervnculovisitado">
    <w:name w:val="FollowedHyperlink"/>
    <w:basedOn w:val="Fuentedeprrafopredeter"/>
    <w:uiPriority w:val="99"/>
    <w:semiHidden w:val="1"/>
    <w:unhideWhenUsed w:val="1"/>
    <w:rsid w:val="001405C7"/>
    <w:rPr>
      <w:color w:val="954f72" w:themeColor="followedHyperlink"/>
      <w:u w:val="single"/>
    </w:rPr>
  </w:style>
  <w:style w:type="paragraph" w:styleId="NormalWeb">
    <w:name w:val="Normal (Web)"/>
    <w:basedOn w:val="Normal"/>
    <w:uiPriority w:val="99"/>
    <w:semiHidden w:val="1"/>
    <w:unhideWhenUsed w:val="1"/>
    <w:rsid w:val="001405C7"/>
    <w:pPr>
      <w:spacing w:after="100" w:afterAutospacing="1" w:before="100" w:beforeAutospacing="1"/>
    </w:pPr>
  </w:style>
  <w:style w:type="paragraph" w:styleId="Sinespaciado">
    <w:name w:val="No Spacing"/>
    <w:uiPriority w:val="1"/>
    <w:qFormat w:val="1"/>
    <w:rsid w:val="001405C7"/>
  </w:style>
  <w:style w:type="character" w:styleId="Mencinsinresolver">
    <w:name w:val="Unresolved Mention"/>
    <w:basedOn w:val="Fuentedeprrafopredeter"/>
    <w:uiPriority w:val="99"/>
    <w:semiHidden w:val="1"/>
    <w:unhideWhenUsed w:val="1"/>
    <w:rsid w:val="00255DDE"/>
    <w:rPr>
      <w:color w:val="605e5c"/>
      <w:shd w:color="auto" w:fill="e1dfdd" w:val="clear"/>
    </w:rPr>
  </w:style>
  <w:style w:type="paragraph" w:styleId="m-2421043129402594891msolistparagraph" w:customStyle="1">
    <w:name w:val="m_-2421043129402594891msolistparagraph"/>
    <w:basedOn w:val="Normal"/>
    <w:rsid w:val="00E15381"/>
    <w:pPr>
      <w:spacing w:after="100" w:afterAutospacing="1" w:before="100" w:beforeAutospacing="1"/>
    </w:pPr>
    <w:rPr>
      <w:lang w:eastAsia="es-ES"/>
    </w:rPr>
  </w:style>
  <w:style w:type="character" w:styleId="il" w:customStyle="1">
    <w:name w:val="il"/>
    <w:basedOn w:val="Fuentedeprrafopredeter"/>
    <w:rsid w:val="00E15381"/>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ena@pelicancomunicacion.com"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outu.be/TpAGZft8o2Y" TargetMode="External"/><Relationship Id="rId8" Type="http://schemas.openxmlformats.org/officeDocument/2006/relationships/hyperlink" Target="mailto:guillermo.tomas@linde-mh.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ymfHiqB7a5h/thAFPmjMg14+QA==">CgMxLjA4AHIhMXhNbHRlQWE3VW12WGNIVXNHOFhXWF9ybmtiV1BKc2tO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2024-03-19T10:47:00Z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0x0101005E636A18C93200428C239A0493657B91</vt:lpwstr>
  </property>
  <property fmtid="{D5CDD505-2E9C-101B-9397-08002B2CF9AE}" pid="3" name="MediaServiceImageTags">
    <vt:lpwstr/>
  </property>
</Properties>
</file>